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92186F" w14:paraId="2E2229E7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8E02ABC" w14:textId="77777777" w:rsidR="0092186F" w:rsidRDefault="00CD503B">
            <w:pPr>
              <w:spacing w:after="0" w:line="240" w:lineRule="auto"/>
            </w:pPr>
            <w:r>
              <w:rPr>
                <w:b/>
              </w:rPr>
              <w:t xml:space="preserve">RKP </w:t>
            </w:r>
            <w:proofErr w:type="spellStart"/>
            <w:r>
              <w:rPr>
                <w:b/>
              </w:rPr>
              <w:t>broj</w:t>
            </w:r>
            <w:proofErr w:type="spellEnd"/>
          </w:p>
        </w:tc>
        <w:tc>
          <w:tcPr>
            <w:tcW w:w="0" w:type="auto"/>
            <w:shd w:val="clear" w:color="auto" w:fill="E7F0F9"/>
          </w:tcPr>
          <w:p w14:paraId="2AD45088" w14:textId="77777777" w:rsidR="0092186F" w:rsidRDefault="00CD503B">
            <w:pPr>
              <w:spacing w:after="0" w:line="240" w:lineRule="auto"/>
            </w:pPr>
            <w:r>
              <w:t>18848</w:t>
            </w:r>
          </w:p>
        </w:tc>
      </w:tr>
      <w:tr w:rsidR="0092186F" w14:paraId="44E78199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FAE5B1B" w14:textId="77777777" w:rsidR="0092186F" w:rsidRDefault="00CD503B">
            <w:pPr>
              <w:spacing w:after="0" w:line="240" w:lineRule="auto"/>
            </w:pPr>
            <w:proofErr w:type="spellStart"/>
            <w:r>
              <w:rPr>
                <w:b/>
              </w:rPr>
              <w:t>Naziv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obveznika</w:t>
            </w:r>
            <w:proofErr w:type="spellEnd"/>
          </w:p>
        </w:tc>
        <w:tc>
          <w:tcPr>
            <w:tcW w:w="0" w:type="auto"/>
            <w:shd w:val="clear" w:color="auto" w:fill="E7F0F9"/>
          </w:tcPr>
          <w:p w14:paraId="0EEA12FF" w14:textId="77777777" w:rsidR="0092186F" w:rsidRDefault="00CD503B">
            <w:pPr>
              <w:spacing w:after="0" w:line="240" w:lineRule="auto"/>
            </w:pPr>
            <w:r>
              <w:t xml:space="preserve">EKONOMSKO-BIROTEHNIČKA I TRGOVAČKA ŠKOLA </w:t>
            </w:r>
          </w:p>
        </w:tc>
      </w:tr>
      <w:tr w:rsidR="0092186F" w14:paraId="62F88CAA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063B6EF" w14:textId="77777777" w:rsidR="0092186F" w:rsidRDefault="00CD503B">
            <w:pPr>
              <w:spacing w:after="0" w:line="240" w:lineRule="auto"/>
            </w:pPr>
            <w:proofErr w:type="spellStart"/>
            <w:r>
              <w:rPr>
                <w:b/>
              </w:rPr>
              <w:t>Razina</w:t>
            </w:r>
            <w:proofErr w:type="spellEnd"/>
          </w:p>
        </w:tc>
        <w:tc>
          <w:tcPr>
            <w:tcW w:w="0" w:type="auto"/>
            <w:shd w:val="clear" w:color="auto" w:fill="E7F0F9"/>
          </w:tcPr>
          <w:p w14:paraId="0C6D94F7" w14:textId="77777777" w:rsidR="0092186F" w:rsidRDefault="00CD503B">
            <w:pPr>
              <w:spacing w:after="0" w:line="240" w:lineRule="auto"/>
            </w:pPr>
            <w:r>
              <w:t>31</w:t>
            </w:r>
          </w:p>
        </w:tc>
      </w:tr>
    </w:tbl>
    <w:p w14:paraId="7439422B" w14:textId="77777777" w:rsidR="0092186F" w:rsidRDefault="00CD503B">
      <w:r>
        <w:br/>
      </w:r>
    </w:p>
    <w:p w14:paraId="53AC562B" w14:textId="77777777" w:rsidR="0092186F" w:rsidRDefault="00CD503B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157294DA" w14:textId="77777777" w:rsidR="0092186F" w:rsidRDefault="00CD503B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67C531E1" w14:textId="77777777" w:rsidR="0092186F" w:rsidRDefault="00CD503B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131777E8" w14:textId="77777777" w:rsidR="0092186F" w:rsidRDefault="0092186F"/>
    <w:p w14:paraId="065FB9BB" w14:textId="77777777" w:rsidR="0092186F" w:rsidRDefault="00CD503B">
      <w:pPr>
        <w:keepNext/>
        <w:spacing w:line="240" w:lineRule="auto"/>
        <w:jc w:val="center"/>
      </w:pPr>
      <w:proofErr w:type="spellStart"/>
      <w:r>
        <w:rPr>
          <w:b/>
          <w:sz w:val="28"/>
        </w:rPr>
        <w:t>Izvještaj</w:t>
      </w:r>
      <w:proofErr w:type="spellEnd"/>
      <w:r>
        <w:rPr>
          <w:b/>
          <w:sz w:val="28"/>
        </w:rPr>
        <w:t xml:space="preserve"> o </w:t>
      </w:r>
      <w:proofErr w:type="spellStart"/>
      <w:r>
        <w:rPr>
          <w:b/>
          <w:sz w:val="28"/>
        </w:rPr>
        <w:t>prihodima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rashodima</w:t>
      </w:r>
      <w:proofErr w:type="spellEnd"/>
      <w:r>
        <w:rPr>
          <w:b/>
          <w:sz w:val="28"/>
        </w:rPr>
        <w:t xml:space="preserve">, </w:t>
      </w:r>
      <w:proofErr w:type="spellStart"/>
      <w:r>
        <w:rPr>
          <w:b/>
          <w:sz w:val="28"/>
        </w:rPr>
        <w:t>primicima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izdacima</w:t>
      </w:r>
      <w:proofErr w:type="spellEnd"/>
    </w:p>
    <w:p w14:paraId="2164E220" w14:textId="77777777" w:rsidR="0092186F" w:rsidRDefault="00CD503B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2186F" w14:paraId="2C3F5BA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439907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526C3F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0F8A66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3D38E8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BCEB8E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A5872C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2186F" w14:paraId="630A4AC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AB159E" w14:textId="77777777" w:rsidR="0092186F" w:rsidRDefault="00CD50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F6917FA" w14:textId="77777777" w:rsidR="0092186F" w:rsidRDefault="00CD50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C9B9E5" w14:textId="77777777" w:rsidR="0092186F" w:rsidRDefault="00CD50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ED6B7F" w14:textId="77777777" w:rsidR="0092186F" w:rsidRDefault="00CD50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2.273.844,35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41B0CB" w14:textId="77777777" w:rsidR="0092186F" w:rsidRDefault="00CD50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2.601.397,71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28246E" w14:textId="77777777" w:rsidR="0092186F" w:rsidRDefault="00CD50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114,4</w:t>
            </w:r>
          </w:p>
        </w:tc>
      </w:tr>
      <w:tr w:rsidR="0092186F" w14:paraId="0897781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E3A4B0" w14:textId="77777777" w:rsidR="0092186F" w:rsidRDefault="00CD50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31B918" w14:textId="77777777" w:rsidR="0092186F" w:rsidRDefault="00CD50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96C0A8" w14:textId="77777777" w:rsidR="0092186F" w:rsidRDefault="00CD50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69DF4C" w14:textId="77777777" w:rsidR="0092186F" w:rsidRDefault="00CD50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2.242.054,08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A84087" w14:textId="77777777" w:rsidR="0092186F" w:rsidRDefault="00CD50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2.627.205,96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C02D53" w14:textId="77777777" w:rsidR="0092186F" w:rsidRDefault="00CD50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117,2</w:t>
            </w:r>
          </w:p>
        </w:tc>
      </w:tr>
      <w:tr w:rsidR="0092186F" w14:paraId="0499C12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E5A60D" w14:textId="77777777" w:rsidR="0092186F" w:rsidRDefault="0092186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62008F4" w14:textId="77777777" w:rsidR="0092186F" w:rsidRDefault="00CD503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045660" w14:textId="77777777" w:rsidR="0092186F" w:rsidRDefault="00CD503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7283A0" w14:textId="77777777" w:rsidR="0092186F" w:rsidRDefault="00CD503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30A0C3" w14:textId="77777777" w:rsidR="0092186F" w:rsidRDefault="00CD503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25.808,25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943A9F" w14:textId="77777777" w:rsidR="0092186F" w:rsidRDefault="00CD503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92186F" w14:paraId="3D8C346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94A5E7" w14:textId="77777777" w:rsidR="0092186F" w:rsidRDefault="00CD50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6AD5E7D" w14:textId="77777777" w:rsidR="0092186F" w:rsidRDefault="00CD503B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z w:val="18"/>
              </w:rPr>
              <w:t xml:space="preserve"> od </w:t>
            </w:r>
            <w:proofErr w:type="spellStart"/>
            <w:r>
              <w:rPr>
                <w:sz w:val="18"/>
              </w:rPr>
              <w:t>prodaje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0EDDDD" w14:textId="77777777" w:rsidR="0092186F" w:rsidRDefault="00CD50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625C3F" w14:textId="77777777" w:rsidR="0092186F" w:rsidRDefault="00CD50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79CB8E" w14:textId="77777777" w:rsidR="0092186F" w:rsidRDefault="00CD50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82EB5D" w14:textId="77777777" w:rsidR="0092186F" w:rsidRDefault="00CD50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92186F" w14:paraId="1F95EF7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C29F7E" w14:textId="77777777" w:rsidR="0092186F" w:rsidRDefault="00CD50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36D8356" w14:textId="77777777" w:rsidR="0092186F" w:rsidRDefault="00CD503B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Rashodi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nabavu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543690" w14:textId="77777777" w:rsidR="0092186F" w:rsidRDefault="00CD50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BDEE42" w14:textId="77777777" w:rsidR="0092186F" w:rsidRDefault="00CD50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4.939,22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6A1970" w14:textId="77777777" w:rsidR="0092186F" w:rsidRDefault="00CD50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118.890,05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5ED81F" w14:textId="77777777" w:rsidR="0092186F" w:rsidRDefault="00CD50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2407,1</w:t>
            </w:r>
          </w:p>
        </w:tc>
      </w:tr>
      <w:tr w:rsidR="0092186F" w14:paraId="073F927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103F4F" w14:textId="77777777" w:rsidR="0092186F" w:rsidRDefault="0092186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8599171" w14:textId="77777777" w:rsidR="0092186F" w:rsidRDefault="00CD503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2D6A6D" w14:textId="77777777" w:rsidR="0092186F" w:rsidRDefault="00CD503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58B149" w14:textId="77777777" w:rsidR="0092186F" w:rsidRDefault="00CD503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4.939,22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96279E" w14:textId="77777777" w:rsidR="0092186F" w:rsidRDefault="00CD503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118.890,05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7ABA08" w14:textId="77777777" w:rsidR="0092186F" w:rsidRDefault="00CD503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2407,1</w:t>
            </w:r>
          </w:p>
        </w:tc>
      </w:tr>
      <w:tr w:rsidR="0092186F" w14:paraId="749A5CA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E26C45" w14:textId="77777777" w:rsidR="0092186F" w:rsidRDefault="00CD50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605DC6" w14:textId="77777777" w:rsidR="0092186F" w:rsidRDefault="00CD503B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Primici</w:t>
            </w:r>
            <w:proofErr w:type="spellEnd"/>
            <w:r>
              <w:rPr>
                <w:sz w:val="18"/>
              </w:rPr>
              <w:t xml:space="preserve"> od </w:t>
            </w:r>
            <w:proofErr w:type="spellStart"/>
            <w:r>
              <w:rPr>
                <w:sz w:val="18"/>
              </w:rPr>
              <w:t>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zaduživanja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FA2C13" w14:textId="77777777" w:rsidR="0092186F" w:rsidRDefault="00CD50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79C91F" w14:textId="77777777" w:rsidR="0092186F" w:rsidRDefault="00CD50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25532C" w14:textId="77777777" w:rsidR="0092186F" w:rsidRDefault="00CD50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F49F91" w14:textId="77777777" w:rsidR="0092186F" w:rsidRDefault="00CD50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92186F" w14:paraId="7BD3963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E28BB3" w14:textId="77777777" w:rsidR="0092186F" w:rsidRDefault="00CD50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E16420B" w14:textId="77777777" w:rsidR="0092186F" w:rsidRDefault="00CD503B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Izdaci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financijsku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otplate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zajmova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F08F0A" w14:textId="77777777" w:rsidR="0092186F" w:rsidRDefault="00CD50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AC53F7" w14:textId="77777777" w:rsidR="0092186F" w:rsidRDefault="00CD50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1E02B3" w14:textId="77777777" w:rsidR="0092186F" w:rsidRDefault="00CD50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5A49F2" w14:textId="77777777" w:rsidR="0092186F" w:rsidRDefault="00CD50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92186F" w14:paraId="72D3625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378D61" w14:textId="77777777" w:rsidR="0092186F" w:rsidRDefault="0092186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137BFBF" w14:textId="77777777" w:rsidR="0092186F" w:rsidRDefault="00CD503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C3BF75" w14:textId="77777777" w:rsidR="0092186F" w:rsidRDefault="00CD503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94A067" w14:textId="77777777" w:rsidR="0092186F" w:rsidRDefault="00CD503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DA7266" w14:textId="77777777" w:rsidR="0092186F" w:rsidRDefault="00CD503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638ADF" w14:textId="77777777" w:rsidR="0092186F" w:rsidRDefault="00CD503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92186F" w14:paraId="406E2B7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7112A1" w14:textId="77777777" w:rsidR="0092186F" w:rsidRDefault="0092186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6E46EC0" w14:textId="77777777" w:rsidR="0092186F" w:rsidRDefault="00CD503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79816E" w14:textId="77777777" w:rsidR="0092186F" w:rsidRDefault="00CD503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675650" w14:textId="77777777" w:rsidR="0092186F" w:rsidRDefault="00CD503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6736EB" w14:textId="77777777" w:rsidR="0092186F" w:rsidRDefault="00CD503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144.698,30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B2B8F4" w14:textId="77777777" w:rsidR="0092186F" w:rsidRDefault="00CD503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5D86C20F" w14:textId="77777777" w:rsidR="0092186F" w:rsidRDefault="0092186F">
      <w:pPr>
        <w:spacing w:after="0"/>
      </w:pPr>
    </w:p>
    <w:p w14:paraId="15CFA905" w14:textId="77777777" w:rsidR="0092186F" w:rsidRDefault="00CD503B">
      <w:r>
        <w:t xml:space="preserve">U </w:t>
      </w:r>
      <w:proofErr w:type="spellStart"/>
      <w:r>
        <w:t>razdoblju</w:t>
      </w:r>
      <w:proofErr w:type="spellEnd"/>
      <w:r>
        <w:t xml:space="preserve"> od 1. </w:t>
      </w:r>
      <w:proofErr w:type="spellStart"/>
      <w:r>
        <w:t>siječnja</w:t>
      </w:r>
      <w:proofErr w:type="spellEnd"/>
      <w:r>
        <w:t xml:space="preserve"> do 31. </w:t>
      </w:r>
      <w:proofErr w:type="spellStart"/>
      <w:r>
        <w:t>prosinca</w:t>
      </w:r>
      <w:proofErr w:type="spellEnd"/>
      <w:r>
        <w:t xml:space="preserve"> 2025.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prihodi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</w:t>
      </w:r>
      <w:proofErr w:type="spellStart"/>
      <w:r>
        <w:t>ostvareni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2.601.397,71 EUR. </w:t>
      </w:r>
      <w:proofErr w:type="spellStart"/>
      <w:r>
        <w:t>Najznačajnije</w:t>
      </w:r>
      <w:proofErr w:type="spellEnd"/>
      <w:r>
        <w:t xml:space="preserve"> </w:t>
      </w:r>
      <w:proofErr w:type="spellStart"/>
      <w:r>
        <w:t>povećanje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odnosi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prihode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nadležnog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za </w:t>
      </w:r>
      <w:proofErr w:type="spellStart"/>
      <w:r>
        <w:t>financiranje</w:t>
      </w:r>
      <w:proofErr w:type="spellEnd"/>
      <w:r>
        <w:t xml:space="preserve"> </w:t>
      </w:r>
      <w:proofErr w:type="spellStart"/>
      <w:r>
        <w:t>redovne</w:t>
      </w:r>
      <w:proofErr w:type="spellEnd"/>
      <w:r>
        <w:t xml:space="preserve"> </w:t>
      </w:r>
      <w:proofErr w:type="spellStart"/>
      <w:r>
        <w:t>djelatnosti</w:t>
      </w:r>
      <w:proofErr w:type="spellEnd"/>
      <w:r>
        <w:t xml:space="preserve"> </w:t>
      </w:r>
      <w:proofErr w:type="spellStart"/>
      <w:r>
        <w:t>proračunskih</w:t>
      </w:r>
      <w:proofErr w:type="spellEnd"/>
      <w:r>
        <w:t xml:space="preserve"> </w:t>
      </w:r>
      <w:proofErr w:type="spellStart"/>
      <w:r>
        <w:t>korisnika</w:t>
      </w:r>
      <w:proofErr w:type="spellEnd"/>
      <w:r>
        <w:t xml:space="preserve">, </w:t>
      </w:r>
      <w:proofErr w:type="spellStart"/>
      <w:r>
        <w:t>us</w:t>
      </w:r>
      <w:r>
        <w:t>lijed</w:t>
      </w:r>
      <w:proofErr w:type="spellEnd"/>
      <w:r>
        <w:t xml:space="preserve"> </w:t>
      </w:r>
      <w:proofErr w:type="spellStart"/>
      <w:r>
        <w:t>povećanih</w:t>
      </w:r>
      <w:proofErr w:type="spellEnd"/>
      <w:r>
        <w:t xml:space="preserve"> </w:t>
      </w:r>
      <w:proofErr w:type="spellStart"/>
      <w:r>
        <w:t>materijalnih</w:t>
      </w:r>
      <w:proofErr w:type="spellEnd"/>
      <w:r>
        <w:t xml:space="preserve"> </w:t>
      </w:r>
      <w:proofErr w:type="spellStart"/>
      <w:r>
        <w:t>troškova</w:t>
      </w:r>
      <w:proofErr w:type="spellEnd"/>
      <w:r>
        <w:t xml:space="preserve"> </w:t>
      </w:r>
      <w:proofErr w:type="spellStart"/>
      <w:r>
        <w:t>potrebnih</w:t>
      </w:r>
      <w:proofErr w:type="spellEnd"/>
      <w:r>
        <w:t xml:space="preserve"> za </w:t>
      </w:r>
      <w:proofErr w:type="spellStart"/>
      <w:r>
        <w:t>redovno</w:t>
      </w:r>
      <w:proofErr w:type="spellEnd"/>
      <w:r>
        <w:t xml:space="preserve"> </w:t>
      </w:r>
      <w:proofErr w:type="spellStart"/>
      <w:r>
        <w:t>poslovanje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. </w:t>
      </w:r>
      <w:proofErr w:type="spellStart"/>
      <w:r>
        <w:t>Također</w:t>
      </w:r>
      <w:proofErr w:type="spellEnd"/>
      <w:r>
        <w:t xml:space="preserve">, </w:t>
      </w:r>
      <w:proofErr w:type="spellStart"/>
      <w:r>
        <w:t>zabilježen</w:t>
      </w:r>
      <w:proofErr w:type="spellEnd"/>
      <w:r>
        <w:t xml:space="preserve"> je </w:t>
      </w:r>
      <w:proofErr w:type="spellStart"/>
      <w:r>
        <w:t>porast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</w:t>
      </w:r>
      <w:proofErr w:type="spellStart"/>
      <w:r>
        <w:t>Ministarstva</w:t>
      </w:r>
      <w:proofErr w:type="spellEnd"/>
      <w:r>
        <w:t xml:space="preserve"> </w:t>
      </w:r>
      <w:proofErr w:type="spellStart"/>
      <w:r>
        <w:t>znanosti</w:t>
      </w:r>
      <w:proofErr w:type="spellEnd"/>
      <w:r>
        <w:t xml:space="preserve">, </w:t>
      </w:r>
      <w:proofErr w:type="spellStart"/>
      <w:r>
        <w:t>obrazovanja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mladih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primitaka</w:t>
      </w:r>
      <w:proofErr w:type="spellEnd"/>
      <w:r>
        <w:t xml:space="preserve"> </w:t>
      </w:r>
      <w:proofErr w:type="spellStart"/>
      <w:r>
        <w:t>temeljem</w:t>
      </w:r>
      <w:proofErr w:type="spellEnd"/>
      <w:r>
        <w:t xml:space="preserve"> </w:t>
      </w:r>
      <w:proofErr w:type="spellStart"/>
      <w:r>
        <w:t>tekućih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prijenosa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</w:t>
      </w:r>
      <w:proofErr w:type="spellStart"/>
      <w:r>
        <w:t>Europske</w:t>
      </w:r>
      <w:proofErr w:type="spellEnd"/>
      <w:r>
        <w:t xml:space="preserve"> </w:t>
      </w:r>
      <w:proofErr w:type="spellStart"/>
      <w:r>
        <w:t>unije</w:t>
      </w:r>
      <w:proofErr w:type="spellEnd"/>
      <w:r>
        <w:t xml:space="preserve"> (prog</w:t>
      </w:r>
      <w:r>
        <w:t>ram Erasmus+).</w:t>
      </w:r>
    </w:p>
    <w:p w14:paraId="5A93EA0D" w14:textId="77777777" w:rsidR="0092186F" w:rsidRDefault="00CD503B">
      <w:proofErr w:type="spellStart"/>
      <w:r>
        <w:lastRenderedPageBreak/>
        <w:t>Rashodi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u </w:t>
      </w:r>
      <w:proofErr w:type="spellStart"/>
      <w:r>
        <w:t>istom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ostvareni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2.627.205,96 EUR. </w:t>
      </w:r>
      <w:proofErr w:type="spellStart"/>
      <w:r>
        <w:t>Najznačajniji</w:t>
      </w:r>
      <w:proofErr w:type="spellEnd"/>
      <w:r>
        <w:t xml:space="preserve"> </w:t>
      </w:r>
      <w:proofErr w:type="spellStart"/>
      <w:r>
        <w:t>porast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</w:t>
      </w:r>
      <w:proofErr w:type="spellStart"/>
      <w:r>
        <w:t>evidentiran</w:t>
      </w:r>
      <w:proofErr w:type="spellEnd"/>
      <w:r>
        <w:t xml:space="preserve"> je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rashodima</w:t>
      </w:r>
      <w:proofErr w:type="spellEnd"/>
      <w:r>
        <w:t xml:space="preserve"> za </w:t>
      </w:r>
      <w:proofErr w:type="spellStart"/>
      <w:r>
        <w:t>zaposlene</w:t>
      </w:r>
      <w:proofErr w:type="spellEnd"/>
      <w:r>
        <w:t xml:space="preserve">, </w:t>
      </w:r>
      <w:proofErr w:type="spellStart"/>
      <w:r>
        <w:t>prvenstveno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stupanja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snagu</w:t>
      </w:r>
      <w:proofErr w:type="spellEnd"/>
      <w:r>
        <w:t xml:space="preserve"> </w:t>
      </w:r>
      <w:proofErr w:type="spellStart"/>
      <w:r>
        <w:t>nove</w:t>
      </w:r>
      <w:proofErr w:type="spellEnd"/>
      <w:r>
        <w:t xml:space="preserve"> </w:t>
      </w:r>
      <w:proofErr w:type="spellStart"/>
      <w:r>
        <w:t>Uredbe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povećanja</w:t>
      </w:r>
      <w:proofErr w:type="spellEnd"/>
      <w:r>
        <w:t xml:space="preserve"> </w:t>
      </w:r>
      <w:proofErr w:type="spellStart"/>
      <w:r>
        <w:t>troškova</w:t>
      </w:r>
      <w:proofErr w:type="spellEnd"/>
      <w:r>
        <w:t xml:space="preserve"> </w:t>
      </w:r>
      <w:proofErr w:type="spellStart"/>
      <w:r>
        <w:t>plaća</w:t>
      </w:r>
      <w:proofErr w:type="spellEnd"/>
      <w:r>
        <w:t xml:space="preserve"> </w:t>
      </w:r>
      <w:proofErr w:type="spellStart"/>
      <w:r>
        <w:t>pomoćnika</w:t>
      </w:r>
      <w:proofErr w:type="spellEnd"/>
      <w:r>
        <w:t xml:space="preserve"> u </w:t>
      </w:r>
      <w:proofErr w:type="spellStart"/>
      <w:r>
        <w:t>nas</w:t>
      </w:r>
      <w:r>
        <w:t>tavi</w:t>
      </w:r>
      <w:proofErr w:type="spellEnd"/>
      <w:r>
        <w:t xml:space="preserve">, </w:t>
      </w:r>
      <w:proofErr w:type="spellStart"/>
      <w:r>
        <w:t>uslijed</w:t>
      </w:r>
      <w:proofErr w:type="spellEnd"/>
      <w:r>
        <w:t xml:space="preserve"> </w:t>
      </w:r>
      <w:proofErr w:type="spellStart"/>
      <w:r>
        <w:t>većeg</w:t>
      </w:r>
      <w:proofErr w:type="spellEnd"/>
      <w:r>
        <w:t xml:space="preserve"> </w:t>
      </w:r>
      <w:proofErr w:type="spellStart"/>
      <w:r>
        <w:t>broja</w:t>
      </w:r>
      <w:proofErr w:type="spellEnd"/>
      <w:r>
        <w:t xml:space="preserve"> </w:t>
      </w:r>
      <w:proofErr w:type="spellStart"/>
      <w:r>
        <w:t>angažiranih</w:t>
      </w:r>
      <w:proofErr w:type="spellEnd"/>
      <w:r>
        <w:t xml:space="preserve"> </w:t>
      </w:r>
      <w:proofErr w:type="spellStart"/>
      <w:r>
        <w:t>pomoćnika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prethodnu</w:t>
      </w:r>
      <w:proofErr w:type="spellEnd"/>
      <w:r>
        <w:t xml:space="preserve"> </w:t>
      </w:r>
      <w:proofErr w:type="spellStart"/>
      <w:r>
        <w:t>godinu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rasta</w:t>
      </w:r>
      <w:proofErr w:type="spellEnd"/>
      <w:r>
        <w:t xml:space="preserve"> </w:t>
      </w:r>
      <w:proofErr w:type="spellStart"/>
      <w:r>
        <w:t>bruto</w:t>
      </w:r>
      <w:proofErr w:type="spellEnd"/>
      <w:r>
        <w:t xml:space="preserve"> </w:t>
      </w:r>
      <w:proofErr w:type="spellStart"/>
      <w:r>
        <w:t>satnice</w:t>
      </w:r>
      <w:proofErr w:type="spellEnd"/>
      <w:r>
        <w:t xml:space="preserve"> za </w:t>
      </w:r>
      <w:proofErr w:type="spellStart"/>
      <w:r>
        <w:t>obračun</w:t>
      </w:r>
      <w:proofErr w:type="spellEnd"/>
      <w:r>
        <w:t xml:space="preserve"> </w:t>
      </w:r>
      <w:proofErr w:type="spellStart"/>
      <w:r>
        <w:t>njihovih</w:t>
      </w:r>
      <w:proofErr w:type="spellEnd"/>
      <w:r>
        <w:t xml:space="preserve"> </w:t>
      </w:r>
      <w:proofErr w:type="spellStart"/>
      <w:r>
        <w:t>plaća</w:t>
      </w:r>
      <w:proofErr w:type="spellEnd"/>
      <w:r>
        <w:t>.</w:t>
      </w:r>
    </w:p>
    <w:p w14:paraId="7786C844" w14:textId="77777777" w:rsidR="0092186F" w:rsidRDefault="00CD503B">
      <w:proofErr w:type="spellStart"/>
      <w:r>
        <w:t>Ukupan</w:t>
      </w:r>
      <w:proofErr w:type="spellEnd"/>
      <w:r>
        <w:t xml:space="preserve"> </w:t>
      </w:r>
      <w:proofErr w:type="spellStart"/>
      <w:r>
        <w:t>rast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isto</w:t>
      </w:r>
      <w:proofErr w:type="spellEnd"/>
      <w:r>
        <w:t xml:space="preserve"> </w:t>
      </w:r>
      <w:proofErr w:type="spellStart"/>
      <w:r>
        <w:t>razdoblje</w:t>
      </w:r>
      <w:proofErr w:type="spellEnd"/>
      <w:r>
        <w:t xml:space="preserve"> </w:t>
      </w:r>
      <w:proofErr w:type="spellStart"/>
      <w:r>
        <w:t>prethodne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posljedica</w:t>
      </w:r>
      <w:proofErr w:type="spellEnd"/>
      <w:r>
        <w:t xml:space="preserve"> je </w:t>
      </w:r>
      <w:proofErr w:type="spellStart"/>
      <w:r>
        <w:t>ukidanja</w:t>
      </w:r>
      <w:proofErr w:type="spellEnd"/>
      <w:r>
        <w:t xml:space="preserve"> </w:t>
      </w:r>
      <w:proofErr w:type="spellStart"/>
      <w:r>
        <w:t>kontinuiranih</w:t>
      </w:r>
      <w:proofErr w:type="spellEnd"/>
      <w:r>
        <w:t xml:space="preserve"> </w:t>
      </w:r>
      <w:proofErr w:type="spellStart"/>
      <w:r>
        <w:t>troškova</w:t>
      </w:r>
      <w:proofErr w:type="spellEnd"/>
      <w:r>
        <w:t xml:space="preserve">, </w:t>
      </w:r>
      <w:proofErr w:type="spellStart"/>
      <w:r>
        <w:t>zbo</w:t>
      </w:r>
      <w:r>
        <w:t>g</w:t>
      </w:r>
      <w:proofErr w:type="spellEnd"/>
      <w:r>
        <w:t xml:space="preserve"> </w:t>
      </w:r>
      <w:proofErr w:type="spellStart"/>
      <w:r>
        <w:t>čega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plaće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materijalna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zaposlenika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redovni</w:t>
      </w:r>
      <w:proofErr w:type="spellEnd"/>
      <w:r>
        <w:t xml:space="preserve"> </w:t>
      </w:r>
      <w:proofErr w:type="spellStart"/>
      <w:r>
        <w:t>režijski</w:t>
      </w:r>
      <w:proofErr w:type="spellEnd"/>
      <w:r>
        <w:t xml:space="preserve"> </w:t>
      </w:r>
      <w:proofErr w:type="spellStart"/>
      <w:r>
        <w:t>troškovi</w:t>
      </w:r>
      <w:proofErr w:type="spellEnd"/>
      <w:r>
        <w:t xml:space="preserve">, </w:t>
      </w:r>
      <w:proofErr w:type="spellStart"/>
      <w:r>
        <w:t>evidentirani</w:t>
      </w:r>
      <w:proofErr w:type="spellEnd"/>
      <w:r>
        <w:t xml:space="preserve"> </w:t>
      </w:r>
      <w:proofErr w:type="spellStart"/>
      <w:r>
        <w:t>izravno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rashodima</w:t>
      </w:r>
      <w:proofErr w:type="spellEnd"/>
      <w:r>
        <w:t xml:space="preserve"> u </w:t>
      </w:r>
      <w:proofErr w:type="spellStart"/>
      <w:r>
        <w:t>trenutku</w:t>
      </w:r>
      <w:proofErr w:type="spellEnd"/>
      <w:r>
        <w:t xml:space="preserve"> </w:t>
      </w:r>
      <w:proofErr w:type="spellStart"/>
      <w:r>
        <w:t>nastanka</w:t>
      </w:r>
      <w:proofErr w:type="spellEnd"/>
      <w:r>
        <w:t>.</w:t>
      </w:r>
    </w:p>
    <w:p w14:paraId="08BDC6DA" w14:textId="77777777" w:rsidR="0092186F" w:rsidRDefault="00CD503B">
      <w:r>
        <w:t xml:space="preserve">U </w:t>
      </w:r>
      <w:proofErr w:type="spellStart"/>
      <w:r>
        <w:t>navedenom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nisu</w:t>
      </w:r>
      <w:proofErr w:type="spellEnd"/>
      <w:r>
        <w:t xml:space="preserve"> </w:t>
      </w:r>
      <w:proofErr w:type="spellStart"/>
      <w:r>
        <w:t>ostvareni</w:t>
      </w:r>
      <w:proofErr w:type="spellEnd"/>
      <w:r>
        <w:t xml:space="preserve"> </w:t>
      </w:r>
      <w:proofErr w:type="spellStart"/>
      <w:r>
        <w:t>prihodi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prodaje</w:t>
      </w:r>
      <w:proofErr w:type="spellEnd"/>
      <w:r>
        <w:t xml:space="preserve"> </w:t>
      </w:r>
      <w:proofErr w:type="spellStart"/>
      <w:r>
        <w:t>nefinancijske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. </w:t>
      </w:r>
      <w:proofErr w:type="spellStart"/>
      <w:r>
        <w:t>Rashodi</w:t>
      </w:r>
      <w:proofErr w:type="spellEnd"/>
      <w:r>
        <w:t xml:space="preserve"> za </w:t>
      </w:r>
      <w:proofErr w:type="spellStart"/>
      <w:r>
        <w:t>nabavu</w:t>
      </w:r>
      <w:proofErr w:type="spellEnd"/>
      <w:r>
        <w:t xml:space="preserve"> </w:t>
      </w:r>
      <w:proofErr w:type="spellStart"/>
      <w:r>
        <w:t>nefinancijske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</w:t>
      </w:r>
      <w:proofErr w:type="spellStart"/>
      <w:r>
        <w:t>ostvareni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118.890,05 EUR, a </w:t>
      </w:r>
      <w:proofErr w:type="spellStart"/>
      <w:r>
        <w:t>najvećim</w:t>
      </w:r>
      <w:proofErr w:type="spellEnd"/>
      <w:r>
        <w:t xml:space="preserve"> </w:t>
      </w:r>
      <w:proofErr w:type="spellStart"/>
      <w:r>
        <w:t>dijelom</w:t>
      </w:r>
      <w:proofErr w:type="spellEnd"/>
      <w:r>
        <w:t xml:space="preserve"> </w:t>
      </w:r>
      <w:proofErr w:type="spellStart"/>
      <w:r>
        <w:t>odnose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ulaganja</w:t>
      </w:r>
      <w:proofErr w:type="spellEnd"/>
      <w:r>
        <w:t xml:space="preserve"> u </w:t>
      </w:r>
      <w:proofErr w:type="spellStart"/>
      <w:r>
        <w:t>okviru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Nacionalnog</w:t>
      </w:r>
      <w:proofErr w:type="spellEnd"/>
      <w:r>
        <w:t xml:space="preserve"> plana </w:t>
      </w:r>
      <w:proofErr w:type="spellStart"/>
      <w:r>
        <w:t>oporavka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otpornosti</w:t>
      </w:r>
      <w:proofErr w:type="spellEnd"/>
      <w:r>
        <w:t xml:space="preserve"> (NPOO), </w:t>
      </w:r>
      <w:proofErr w:type="spellStart"/>
      <w:r>
        <w:t>uključujući</w:t>
      </w:r>
      <w:proofErr w:type="spellEnd"/>
      <w:r>
        <w:t xml:space="preserve"> </w:t>
      </w:r>
      <w:proofErr w:type="spellStart"/>
      <w:r>
        <w:t>uređenje</w:t>
      </w:r>
      <w:proofErr w:type="spellEnd"/>
      <w:r>
        <w:t xml:space="preserve"> </w:t>
      </w:r>
      <w:proofErr w:type="spellStart"/>
      <w:r>
        <w:t>učionica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sportske</w:t>
      </w:r>
      <w:proofErr w:type="spellEnd"/>
      <w:r>
        <w:t xml:space="preserve"> </w:t>
      </w:r>
      <w:proofErr w:type="spellStart"/>
      <w:r>
        <w:t>dvorane</w:t>
      </w:r>
      <w:proofErr w:type="spellEnd"/>
      <w:r>
        <w:t xml:space="preserve">. </w:t>
      </w:r>
      <w:proofErr w:type="spellStart"/>
      <w:r>
        <w:t>Navedena</w:t>
      </w:r>
      <w:proofErr w:type="spellEnd"/>
      <w:r>
        <w:t xml:space="preserve"> </w:t>
      </w:r>
      <w:proofErr w:type="spellStart"/>
      <w:r>
        <w:t>ulaganja</w:t>
      </w:r>
      <w:proofErr w:type="spellEnd"/>
      <w:r>
        <w:t xml:space="preserve"> </w:t>
      </w:r>
      <w:proofErr w:type="spellStart"/>
      <w:r>
        <w:t>rezultirala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povećanjem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za </w:t>
      </w:r>
      <w:proofErr w:type="spellStart"/>
      <w:r>
        <w:t>ulaganja</w:t>
      </w:r>
      <w:proofErr w:type="spellEnd"/>
      <w:r>
        <w:t xml:space="preserve"> u </w:t>
      </w:r>
      <w:proofErr w:type="spellStart"/>
      <w:r>
        <w:t>građevinske</w:t>
      </w:r>
      <w:proofErr w:type="spellEnd"/>
      <w:r>
        <w:t xml:space="preserve"> </w:t>
      </w:r>
      <w:proofErr w:type="spellStart"/>
      <w:r>
        <w:t>objekte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izradu</w:t>
      </w:r>
      <w:proofErr w:type="spellEnd"/>
      <w:r>
        <w:t xml:space="preserve"> </w:t>
      </w:r>
      <w:proofErr w:type="spellStart"/>
      <w:r>
        <w:t>projektne</w:t>
      </w:r>
      <w:proofErr w:type="spellEnd"/>
      <w:r>
        <w:t xml:space="preserve"> </w:t>
      </w:r>
      <w:proofErr w:type="spellStart"/>
      <w:r>
        <w:t>dokumentacije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dodatnim</w:t>
      </w:r>
      <w:proofErr w:type="spellEnd"/>
      <w:r>
        <w:t xml:space="preserve"> </w:t>
      </w:r>
      <w:proofErr w:type="spellStart"/>
      <w:r>
        <w:t>hitnim</w:t>
      </w:r>
      <w:proofErr w:type="spellEnd"/>
      <w:r>
        <w:t xml:space="preserve"> </w:t>
      </w:r>
      <w:proofErr w:type="spellStart"/>
      <w:r>
        <w:t>intervencijama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objektu</w:t>
      </w:r>
      <w:proofErr w:type="spellEnd"/>
      <w:r>
        <w:t xml:space="preserve"> </w:t>
      </w:r>
      <w:proofErr w:type="spellStart"/>
      <w:r>
        <w:t>škole</w:t>
      </w:r>
      <w:proofErr w:type="spellEnd"/>
      <w:r>
        <w:t>.</w:t>
      </w:r>
    </w:p>
    <w:p w14:paraId="73824D45" w14:textId="77777777" w:rsidR="0092186F" w:rsidRDefault="00CD503B">
      <w:proofErr w:type="spellStart"/>
      <w:r>
        <w:t>Tijekom</w:t>
      </w:r>
      <w:proofErr w:type="spellEnd"/>
      <w:r>
        <w:t xml:space="preserve"> </w:t>
      </w:r>
      <w:proofErr w:type="spellStart"/>
      <w:r>
        <w:t>izvještajnog</w:t>
      </w:r>
      <w:proofErr w:type="spellEnd"/>
      <w:r>
        <w:t xml:space="preserve"> </w:t>
      </w:r>
      <w:proofErr w:type="spellStart"/>
      <w:r>
        <w:t>razdoblja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ostvarenih</w:t>
      </w:r>
      <w:proofErr w:type="spellEnd"/>
      <w:r>
        <w:t xml:space="preserve"> </w:t>
      </w:r>
      <w:proofErr w:type="spellStart"/>
      <w:r>
        <w:t>primitaka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izdataka</w:t>
      </w:r>
      <w:proofErr w:type="spellEnd"/>
      <w:r>
        <w:t xml:space="preserve"> po </w:t>
      </w:r>
      <w:proofErr w:type="spellStart"/>
      <w:r>
        <w:t>osnovi</w:t>
      </w:r>
      <w:proofErr w:type="spellEnd"/>
      <w:r>
        <w:t xml:space="preserve"> </w:t>
      </w:r>
      <w:proofErr w:type="spellStart"/>
      <w:r>
        <w:t>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zaduživanja</w:t>
      </w:r>
      <w:proofErr w:type="spellEnd"/>
      <w:r>
        <w:t>.</w:t>
      </w:r>
    </w:p>
    <w:p w14:paraId="68DB331F" w14:textId="77777777" w:rsidR="0092186F" w:rsidRDefault="00CD503B">
      <w:r>
        <w:t xml:space="preserve">U </w:t>
      </w:r>
      <w:proofErr w:type="spellStart"/>
      <w:r>
        <w:t>razdoblju</w:t>
      </w:r>
      <w:proofErr w:type="spellEnd"/>
      <w:r>
        <w:t xml:space="preserve"> od 1</w:t>
      </w:r>
      <w:r>
        <w:t xml:space="preserve">. </w:t>
      </w:r>
      <w:proofErr w:type="spellStart"/>
      <w:r>
        <w:t>siječnja</w:t>
      </w:r>
      <w:proofErr w:type="spellEnd"/>
      <w:r>
        <w:t xml:space="preserve"> do 31. </w:t>
      </w:r>
      <w:proofErr w:type="spellStart"/>
      <w:r>
        <w:t>prosinca</w:t>
      </w:r>
      <w:proofErr w:type="spellEnd"/>
      <w:r>
        <w:t xml:space="preserve"> 2025.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ostvaren</w:t>
      </w:r>
      <w:proofErr w:type="spellEnd"/>
      <w:r>
        <w:t xml:space="preserve"> je </w:t>
      </w:r>
      <w:proofErr w:type="spellStart"/>
      <w:r>
        <w:t>manjak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primitaka</w:t>
      </w:r>
      <w:proofErr w:type="spellEnd"/>
      <w:r>
        <w:t xml:space="preserve"> za </w:t>
      </w:r>
      <w:proofErr w:type="spellStart"/>
      <w:r>
        <w:t>pokriće</w:t>
      </w:r>
      <w:proofErr w:type="spellEnd"/>
      <w:r>
        <w:t xml:space="preserve"> u </w:t>
      </w:r>
      <w:proofErr w:type="spellStart"/>
      <w:r>
        <w:t>sljedećem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144.698,30 EUR. </w:t>
      </w:r>
      <w:proofErr w:type="spellStart"/>
      <w:r>
        <w:t>Povećanje</w:t>
      </w:r>
      <w:proofErr w:type="spellEnd"/>
      <w:r>
        <w:t xml:space="preserve"> </w:t>
      </w:r>
      <w:proofErr w:type="spellStart"/>
      <w:r>
        <w:t>manjka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prethodno</w:t>
      </w:r>
      <w:proofErr w:type="spellEnd"/>
      <w:r>
        <w:t xml:space="preserve"> </w:t>
      </w:r>
      <w:proofErr w:type="spellStart"/>
      <w:r>
        <w:t>razdoblje</w:t>
      </w:r>
      <w:proofErr w:type="spellEnd"/>
      <w:r>
        <w:t xml:space="preserve"> </w:t>
      </w:r>
      <w:proofErr w:type="spellStart"/>
      <w:r>
        <w:t>rezultat</w:t>
      </w:r>
      <w:proofErr w:type="spellEnd"/>
      <w:r>
        <w:t xml:space="preserve"> je </w:t>
      </w:r>
      <w:proofErr w:type="spellStart"/>
      <w:r>
        <w:t>ukidanja</w:t>
      </w:r>
      <w:proofErr w:type="spellEnd"/>
      <w:r>
        <w:t xml:space="preserve"> </w:t>
      </w:r>
      <w:proofErr w:type="spellStart"/>
      <w:r>
        <w:t>aktivnih</w:t>
      </w:r>
      <w:proofErr w:type="spellEnd"/>
      <w:r>
        <w:t xml:space="preserve"> </w:t>
      </w:r>
      <w:proofErr w:type="spellStart"/>
      <w:r>
        <w:t>vremenskih</w:t>
      </w:r>
      <w:proofErr w:type="spellEnd"/>
      <w:r>
        <w:t xml:space="preserve"> </w:t>
      </w:r>
      <w:proofErr w:type="spellStart"/>
      <w:r>
        <w:t>razgraničenja</w:t>
      </w:r>
      <w:proofErr w:type="spellEnd"/>
      <w:r>
        <w:t xml:space="preserve"> </w:t>
      </w:r>
      <w:proofErr w:type="spellStart"/>
      <w:r>
        <w:t>sukladno</w:t>
      </w:r>
      <w:proofErr w:type="spellEnd"/>
      <w:r>
        <w:t xml:space="preserve"> </w:t>
      </w:r>
      <w:proofErr w:type="spellStart"/>
      <w:r>
        <w:t>nov</w:t>
      </w:r>
      <w:r>
        <w:t>om</w:t>
      </w:r>
      <w:proofErr w:type="spellEnd"/>
      <w:r>
        <w:t xml:space="preserve"> </w:t>
      </w:r>
      <w:proofErr w:type="spellStart"/>
      <w:r>
        <w:t>Pravilniku</w:t>
      </w:r>
      <w:proofErr w:type="spellEnd"/>
      <w:r>
        <w:t xml:space="preserve"> o </w:t>
      </w:r>
      <w:proofErr w:type="spellStart"/>
      <w:r>
        <w:t>proračunskom</w:t>
      </w:r>
      <w:proofErr w:type="spellEnd"/>
      <w:r>
        <w:t xml:space="preserve"> </w:t>
      </w:r>
      <w:proofErr w:type="spellStart"/>
      <w:r>
        <w:t>računovodstvu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Računskom</w:t>
      </w:r>
      <w:proofErr w:type="spellEnd"/>
      <w:r>
        <w:t xml:space="preserve"> </w:t>
      </w:r>
      <w:proofErr w:type="spellStart"/>
      <w:r>
        <w:t>planu</w:t>
      </w:r>
      <w:proofErr w:type="spellEnd"/>
      <w:r>
        <w:t xml:space="preserve"> (NN 158/23).</w:t>
      </w:r>
    </w:p>
    <w:p w14:paraId="3C450B32" w14:textId="77777777" w:rsidR="0092186F" w:rsidRDefault="00CD503B">
      <w:r>
        <w:br/>
      </w:r>
    </w:p>
    <w:p w14:paraId="3FCB5C53" w14:textId="77777777" w:rsidR="0092186F" w:rsidRDefault="00CD503B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2186F" w14:paraId="5050950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A1A9DA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FDF7E6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1BF505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9378B6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8ACB4A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A5A24F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2186F" w14:paraId="36DEB1F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720FB3" w14:textId="77777777" w:rsidR="0092186F" w:rsidRDefault="00CD50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8D11DEB" w14:textId="77777777" w:rsidR="0092186F" w:rsidRDefault="00CD50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</w:t>
            </w:r>
            <w:r>
              <w:rPr>
                <w:sz w:val="18"/>
              </w:rPr>
              <w:t>POSLOVANJA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759CAF" w14:textId="77777777" w:rsidR="0092186F" w:rsidRDefault="00CD50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08B706" w14:textId="77777777" w:rsidR="0092186F" w:rsidRDefault="00CD50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2.273.844,35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6225AA" w14:textId="77777777" w:rsidR="0092186F" w:rsidRDefault="00CD50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2.601.397,71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4BC559" w14:textId="77777777" w:rsidR="0092186F" w:rsidRDefault="00CD50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114,4</w:t>
            </w:r>
          </w:p>
        </w:tc>
      </w:tr>
    </w:tbl>
    <w:p w14:paraId="185E00EA" w14:textId="77777777" w:rsidR="0092186F" w:rsidRDefault="0092186F">
      <w:pPr>
        <w:spacing w:after="0"/>
      </w:pPr>
    </w:p>
    <w:p w14:paraId="6955BC9D" w14:textId="77777777" w:rsidR="0092186F" w:rsidRDefault="00CD503B">
      <w:proofErr w:type="spellStart"/>
      <w:r>
        <w:t>Ukupni</w:t>
      </w:r>
      <w:proofErr w:type="spellEnd"/>
      <w:r>
        <w:t xml:space="preserve"> </w:t>
      </w:r>
      <w:proofErr w:type="spellStart"/>
      <w:r>
        <w:t>poslovni</w:t>
      </w:r>
      <w:proofErr w:type="spellEnd"/>
      <w:r>
        <w:t xml:space="preserve"> </w:t>
      </w:r>
      <w:proofErr w:type="spellStart"/>
      <w:r>
        <w:t>prihodi</w:t>
      </w:r>
      <w:proofErr w:type="spellEnd"/>
      <w:r>
        <w:t xml:space="preserve"> </w:t>
      </w:r>
      <w:proofErr w:type="spellStart"/>
      <w:r>
        <w:t>bilježe</w:t>
      </w:r>
      <w:proofErr w:type="spellEnd"/>
      <w:r>
        <w:t xml:space="preserve"> </w:t>
      </w:r>
      <w:proofErr w:type="spellStart"/>
      <w:r>
        <w:t>rast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isto</w:t>
      </w:r>
      <w:proofErr w:type="spellEnd"/>
      <w:r>
        <w:t xml:space="preserve"> </w:t>
      </w:r>
      <w:proofErr w:type="spellStart"/>
      <w:r>
        <w:t>razdoblje</w:t>
      </w:r>
      <w:proofErr w:type="spellEnd"/>
      <w:r>
        <w:t xml:space="preserve"> </w:t>
      </w:r>
      <w:proofErr w:type="spellStart"/>
      <w:r>
        <w:t>prethodne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, </w:t>
      </w:r>
      <w:proofErr w:type="spellStart"/>
      <w:r>
        <w:t>što</w:t>
      </w:r>
      <w:proofErr w:type="spellEnd"/>
      <w:r>
        <w:t xml:space="preserve"> je </w:t>
      </w:r>
      <w:proofErr w:type="spellStart"/>
      <w:r>
        <w:t>vidljivo</w:t>
      </w:r>
      <w:proofErr w:type="spellEnd"/>
      <w:r>
        <w:t xml:space="preserve"> </w:t>
      </w:r>
      <w:proofErr w:type="spellStart"/>
      <w:r>
        <w:t>kroz</w:t>
      </w:r>
      <w:proofErr w:type="spellEnd"/>
      <w:r>
        <w:t xml:space="preserve"> </w:t>
      </w:r>
      <w:proofErr w:type="spellStart"/>
      <w:r>
        <w:t>indeks</w:t>
      </w:r>
      <w:proofErr w:type="spellEnd"/>
      <w:r>
        <w:t xml:space="preserve"> od 114,4. </w:t>
      </w:r>
      <w:proofErr w:type="spellStart"/>
      <w:r>
        <w:t>Povećanje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prvenstveno</w:t>
      </w:r>
      <w:proofErr w:type="spellEnd"/>
      <w:r>
        <w:t xml:space="preserve"> je </w:t>
      </w:r>
      <w:proofErr w:type="spellStart"/>
      <w:r>
        <w:t>rezultat</w:t>
      </w:r>
      <w:proofErr w:type="spellEnd"/>
      <w:r>
        <w:t xml:space="preserve"> </w:t>
      </w:r>
      <w:proofErr w:type="spellStart"/>
      <w:r>
        <w:t>rasta</w:t>
      </w:r>
      <w:proofErr w:type="spellEnd"/>
      <w:r>
        <w:t xml:space="preserve"> </w:t>
      </w:r>
      <w:proofErr w:type="spellStart"/>
      <w:r>
        <w:t>plaća</w:t>
      </w:r>
      <w:proofErr w:type="spellEnd"/>
      <w:r>
        <w:t xml:space="preserve">, </w:t>
      </w:r>
      <w:proofErr w:type="spellStart"/>
      <w:r>
        <w:t>ostvarivanja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 </w:t>
      </w:r>
      <w:proofErr w:type="spellStart"/>
      <w:r>
        <w:t>temeljem</w:t>
      </w:r>
      <w:proofErr w:type="spellEnd"/>
      <w:r>
        <w:t xml:space="preserve"> </w:t>
      </w:r>
      <w:proofErr w:type="spellStart"/>
      <w:r>
        <w:t>prijenosa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fondova</w:t>
      </w:r>
      <w:proofErr w:type="spellEnd"/>
      <w:r>
        <w:t xml:space="preserve"> </w:t>
      </w:r>
      <w:proofErr w:type="spellStart"/>
      <w:r>
        <w:t>Europske</w:t>
      </w:r>
      <w:proofErr w:type="spellEnd"/>
      <w:r>
        <w:t xml:space="preserve"> </w:t>
      </w:r>
      <w:proofErr w:type="spellStart"/>
      <w:r>
        <w:t>unije</w:t>
      </w:r>
      <w:proofErr w:type="spellEnd"/>
      <w:r>
        <w:t xml:space="preserve"> (Erasm</w:t>
      </w:r>
      <w:r>
        <w:t xml:space="preserve">us+ </w:t>
      </w:r>
      <w:proofErr w:type="spellStart"/>
      <w:r>
        <w:t>projekti</w:t>
      </w:r>
      <w:proofErr w:type="spellEnd"/>
      <w:r>
        <w:t xml:space="preserve">), </w:t>
      </w:r>
      <w:proofErr w:type="spellStart"/>
      <w:r>
        <w:t>donacija</w:t>
      </w:r>
      <w:proofErr w:type="spellEnd"/>
      <w:r>
        <w:t xml:space="preserve"> </w:t>
      </w:r>
      <w:proofErr w:type="spellStart"/>
      <w:r>
        <w:t>fizičkih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izvan</w:t>
      </w:r>
      <w:proofErr w:type="spellEnd"/>
      <w:r>
        <w:t xml:space="preserve"> </w:t>
      </w:r>
      <w:proofErr w:type="spellStart"/>
      <w:r>
        <w:t>sustava</w:t>
      </w:r>
      <w:proofErr w:type="spellEnd"/>
      <w:r>
        <w:t xml:space="preserve"> </w:t>
      </w:r>
      <w:proofErr w:type="spellStart"/>
      <w:r>
        <w:t>općeg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dodatnih</w:t>
      </w:r>
      <w:proofErr w:type="spellEnd"/>
      <w:r>
        <w:t xml:space="preserve"> </w:t>
      </w:r>
      <w:proofErr w:type="spellStart"/>
      <w:r>
        <w:t>ulaganja</w:t>
      </w:r>
      <w:proofErr w:type="spellEnd"/>
      <w:r>
        <w:t xml:space="preserve"> </w:t>
      </w:r>
      <w:proofErr w:type="spellStart"/>
      <w:r>
        <w:t>okviru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Nacionalnog</w:t>
      </w:r>
      <w:proofErr w:type="spellEnd"/>
      <w:r>
        <w:t xml:space="preserve"> plana </w:t>
      </w:r>
      <w:proofErr w:type="spellStart"/>
      <w:r>
        <w:t>oporavka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otpornosti</w:t>
      </w:r>
      <w:proofErr w:type="spellEnd"/>
      <w:r>
        <w:t xml:space="preserve"> (NPOO). </w:t>
      </w:r>
    </w:p>
    <w:p w14:paraId="1931C84D" w14:textId="77777777" w:rsidR="0092186F" w:rsidRDefault="0092186F"/>
    <w:p w14:paraId="25DDEFB7" w14:textId="77777777" w:rsidR="0092186F" w:rsidRDefault="00CD503B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2186F" w14:paraId="3ED6074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420CBB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EF4630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647AA0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C12824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</w:t>
            </w:r>
            <w:r>
              <w:rPr>
                <w:b/>
                <w:sz w:val="18"/>
              </w:rPr>
              <w:t>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2DA2A7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C5B5A3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2186F" w14:paraId="52A4D13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E3140D" w14:textId="77777777" w:rsidR="0092186F" w:rsidRDefault="00CD50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98512F6" w14:textId="77777777" w:rsidR="0092186F" w:rsidRDefault="00CD503B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Pomoći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temeljem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prijenosa</w:t>
            </w:r>
            <w:proofErr w:type="spellEnd"/>
            <w:r>
              <w:rPr>
                <w:sz w:val="18"/>
              </w:rPr>
              <w:t xml:space="preserve"> EU </w:t>
            </w:r>
            <w:proofErr w:type="spellStart"/>
            <w:r>
              <w:rPr>
                <w:sz w:val="18"/>
              </w:rPr>
              <w:t>sredstava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6381+6382)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3531D8" w14:textId="77777777" w:rsidR="0092186F" w:rsidRDefault="00CD50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C61A71" w14:textId="77777777" w:rsidR="0092186F" w:rsidRDefault="00CD50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39.384,00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F114F9" w14:textId="77777777" w:rsidR="0092186F" w:rsidRDefault="00CD50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88.888,40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BE8FF0" w14:textId="77777777" w:rsidR="0092186F" w:rsidRDefault="00CD50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225,7</w:t>
            </w:r>
          </w:p>
        </w:tc>
      </w:tr>
    </w:tbl>
    <w:p w14:paraId="17FAFB75" w14:textId="77777777" w:rsidR="0092186F" w:rsidRDefault="0092186F">
      <w:pPr>
        <w:spacing w:after="0"/>
      </w:pPr>
    </w:p>
    <w:p w14:paraId="128D6E21" w14:textId="77777777" w:rsidR="0092186F" w:rsidRDefault="00CD503B">
      <w:proofErr w:type="spellStart"/>
      <w:r>
        <w:lastRenderedPageBreak/>
        <w:t>Povećanje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temeljem</w:t>
      </w:r>
      <w:proofErr w:type="spellEnd"/>
      <w:r>
        <w:t xml:space="preserve"> </w:t>
      </w:r>
      <w:proofErr w:type="spellStart"/>
      <w:r>
        <w:t>prijenosa</w:t>
      </w:r>
      <w:proofErr w:type="spellEnd"/>
      <w:r>
        <w:t xml:space="preserve"> EU </w:t>
      </w:r>
      <w:proofErr w:type="spellStart"/>
      <w:r>
        <w:t>sredstava</w:t>
      </w:r>
      <w:proofErr w:type="spellEnd"/>
      <w:r>
        <w:t xml:space="preserve"> </w:t>
      </w:r>
      <w:proofErr w:type="spellStart"/>
      <w:r>
        <w:t>rezultat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Erasmus+.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Ugovoru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dodjeli</w:t>
      </w:r>
      <w:proofErr w:type="spellEnd"/>
      <w:r>
        <w:t xml:space="preserve"> </w:t>
      </w:r>
      <w:proofErr w:type="spellStart"/>
      <w:r>
        <w:t>bespovratnih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za program Erasmus+ </w:t>
      </w:r>
      <w:proofErr w:type="spellStart"/>
      <w:r>
        <w:t>mobilnosti</w:t>
      </w:r>
      <w:proofErr w:type="spellEnd"/>
      <w:r>
        <w:t xml:space="preserve"> </w:t>
      </w:r>
      <w:proofErr w:type="spellStart"/>
      <w:r>
        <w:t>pojedinca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2025-1-HR01-KA121-VET-000338475 </w:t>
      </w:r>
      <w:proofErr w:type="spellStart"/>
      <w:r>
        <w:t>sklopljenog</w:t>
      </w:r>
      <w:proofErr w:type="spellEnd"/>
      <w:r>
        <w:t xml:space="preserve"> </w:t>
      </w:r>
      <w:proofErr w:type="spellStart"/>
      <w:r>
        <w:t>između</w:t>
      </w:r>
      <w:proofErr w:type="spellEnd"/>
      <w:r>
        <w:t xml:space="preserve"> </w:t>
      </w:r>
      <w:proofErr w:type="spellStart"/>
      <w:r>
        <w:t>Agencije</w:t>
      </w:r>
      <w:proofErr w:type="spellEnd"/>
      <w:r>
        <w:t xml:space="preserve"> za </w:t>
      </w:r>
      <w:proofErr w:type="spellStart"/>
      <w:r>
        <w:t>mobilno</w:t>
      </w:r>
      <w:r>
        <w:t>st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programe</w:t>
      </w:r>
      <w:proofErr w:type="spellEnd"/>
      <w:r>
        <w:t xml:space="preserve"> EU </w:t>
      </w:r>
      <w:proofErr w:type="spellStart"/>
      <w:r>
        <w:t>i</w:t>
      </w:r>
      <w:proofErr w:type="spellEnd"/>
      <w:r>
        <w:t xml:space="preserve"> </w:t>
      </w:r>
      <w:proofErr w:type="spellStart"/>
      <w:r>
        <w:t>Ekonomsko-birotehničke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trgovačke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Zadar, </w:t>
      </w:r>
      <w:proofErr w:type="spellStart"/>
      <w:r>
        <w:t>škola</w:t>
      </w:r>
      <w:proofErr w:type="spellEnd"/>
      <w:r>
        <w:t xml:space="preserve"> je </w:t>
      </w:r>
      <w:proofErr w:type="spellStart"/>
      <w:r>
        <w:t>zaprimila</w:t>
      </w:r>
      <w:proofErr w:type="spellEnd"/>
      <w:r>
        <w:t xml:space="preserve"> dana 16.06.2025 </w:t>
      </w:r>
      <w:proofErr w:type="spellStart"/>
      <w:r>
        <w:t>predujam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79.042,40 EUR za </w:t>
      </w:r>
      <w:proofErr w:type="spellStart"/>
      <w:r>
        <w:t>realizaciju</w:t>
      </w:r>
      <w:proofErr w:type="spellEnd"/>
      <w:r>
        <w:t xml:space="preserve"> </w:t>
      </w:r>
      <w:proofErr w:type="spellStart"/>
      <w:r>
        <w:t>mobilnosti</w:t>
      </w:r>
      <w:proofErr w:type="spellEnd"/>
      <w:r>
        <w:t xml:space="preserve"> </w:t>
      </w:r>
      <w:proofErr w:type="spellStart"/>
      <w:r>
        <w:t>učenika</w:t>
      </w:r>
      <w:proofErr w:type="spellEnd"/>
      <w:r>
        <w:t xml:space="preserve">. </w:t>
      </w:r>
      <w:proofErr w:type="spellStart"/>
      <w:r>
        <w:t>Nadalje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Ugovoru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dodjeli</w:t>
      </w:r>
      <w:proofErr w:type="spellEnd"/>
      <w:r>
        <w:t xml:space="preserve"> </w:t>
      </w:r>
      <w:proofErr w:type="spellStart"/>
      <w:r>
        <w:t>bespovratnih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za program Erasmus+ </w:t>
      </w:r>
      <w:proofErr w:type="spellStart"/>
      <w:r>
        <w:t>Projekta</w:t>
      </w:r>
      <w:proofErr w:type="spellEnd"/>
      <w:r>
        <w:t xml:space="preserve"> 202</w:t>
      </w:r>
      <w:r>
        <w:t xml:space="preserve">4-1-HR01-KA121-VET-000226271 </w:t>
      </w:r>
      <w:proofErr w:type="spellStart"/>
      <w:r>
        <w:t>sklopljenog</w:t>
      </w:r>
      <w:proofErr w:type="spellEnd"/>
      <w:r>
        <w:t xml:space="preserve"> </w:t>
      </w:r>
      <w:proofErr w:type="spellStart"/>
      <w:r>
        <w:t>između</w:t>
      </w:r>
      <w:proofErr w:type="spellEnd"/>
      <w:r>
        <w:t xml:space="preserve"> </w:t>
      </w:r>
      <w:proofErr w:type="spellStart"/>
      <w:r>
        <w:t>Agencije</w:t>
      </w:r>
      <w:proofErr w:type="spellEnd"/>
      <w:r>
        <w:t xml:space="preserve"> za </w:t>
      </w:r>
      <w:proofErr w:type="spellStart"/>
      <w:r>
        <w:t>mobilnost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programe</w:t>
      </w:r>
      <w:proofErr w:type="spellEnd"/>
      <w:r>
        <w:t xml:space="preserve"> EU </w:t>
      </w:r>
      <w:proofErr w:type="spellStart"/>
      <w:r>
        <w:t>i</w:t>
      </w:r>
      <w:proofErr w:type="spellEnd"/>
      <w:r>
        <w:t xml:space="preserve"> </w:t>
      </w:r>
      <w:proofErr w:type="spellStart"/>
      <w:r>
        <w:t>Ekonomsko-birotehničke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trgovačke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Zadar, </w:t>
      </w:r>
      <w:proofErr w:type="spellStart"/>
      <w:r>
        <w:t>Ekonomsko-birotehnička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trgovačka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Zadar </w:t>
      </w:r>
      <w:proofErr w:type="spellStart"/>
      <w:r>
        <w:t>zaprimila</w:t>
      </w:r>
      <w:proofErr w:type="spellEnd"/>
      <w:r>
        <w:t xml:space="preserve"> je dana 11.12.2025. </w:t>
      </w:r>
      <w:proofErr w:type="spellStart"/>
      <w:r>
        <w:t>završnu</w:t>
      </w:r>
      <w:proofErr w:type="spellEnd"/>
      <w:r>
        <w:t xml:space="preserve"> </w:t>
      </w:r>
      <w:proofErr w:type="spellStart"/>
      <w:r>
        <w:t>isplatu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9.846,00 EU</w:t>
      </w:r>
      <w:r>
        <w:t>R. </w:t>
      </w:r>
    </w:p>
    <w:p w14:paraId="56C6AB6C" w14:textId="77777777" w:rsidR="0092186F" w:rsidRDefault="00CD503B">
      <w:r>
        <w:t> </w:t>
      </w:r>
    </w:p>
    <w:p w14:paraId="1EAB3A5C" w14:textId="77777777" w:rsidR="0092186F" w:rsidRDefault="0092186F"/>
    <w:p w14:paraId="29EA9305" w14:textId="77777777" w:rsidR="0092186F" w:rsidRDefault="00CD503B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2186F" w14:paraId="15A5070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16F81E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394D72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5CF13F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9FC7C5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BF87CB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C92533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2186F" w14:paraId="0757CC3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0C1D6A" w14:textId="77777777" w:rsidR="0092186F" w:rsidRDefault="00CD50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6D16558" w14:textId="77777777" w:rsidR="0092186F" w:rsidRDefault="00CD503B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Tekući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prijenosi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između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proračunskih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korisnika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istog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proračuna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temeljem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prijenosa</w:t>
            </w:r>
            <w:proofErr w:type="spellEnd"/>
            <w:r>
              <w:rPr>
                <w:sz w:val="18"/>
              </w:rPr>
              <w:t xml:space="preserve"> EU </w:t>
            </w:r>
            <w:proofErr w:type="spellStart"/>
            <w:r>
              <w:rPr>
                <w:sz w:val="18"/>
              </w:rPr>
              <w:t>sredstava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29A1EE" w14:textId="77777777" w:rsidR="0092186F" w:rsidRDefault="00CD50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3613CF" w14:textId="77777777" w:rsidR="0092186F" w:rsidRDefault="00CD50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7.521,19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A2B8B3" w14:textId="77777777" w:rsidR="0092186F" w:rsidRDefault="00CD50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118.141,50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949653" w14:textId="77777777" w:rsidR="0092186F" w:rsidRDefault="00CD50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1570,8</w:t>
            </w:r>
          </w:p>
        </w:tc>
      </w:tr>
    </w:tbl>
    <w:p w14:paraId="4E4125B4" w14:textId="77777777" w:rsidR="0092186F" w:rsidRDefault="0092186F">
      <w:pPr>
        <w:spacing w:after="0"/>
      </w:pPr>
    </w:p>
    <w:p w14:paraId="3450432F" w14:textId="77777777" w:rsidR="0092186F" w:rsidRDefault="00CD503B">
      <w:proofErr w:type="spellStart"/>
      <w:r>
        <w:t>Povećanje</w:t>
      </w:r>
      <w:proofErr w:type="spellEnd"/>
      <w:r>
        <w:t xml:space="preserve"> </w:t>
      </w:r>
      <w:proofErr w:type="spellStart"/>
      <w:r>
        <w:t>tekućih</w:t>
      </w:r>
      <w:proofErr w:type="spellEnd"/>
      <w:r>
        <w:t xml:space="preserve"> </w:t>
      </w:r>
      <w:proofErr w:type="spellStart"/>
      <w:r>
        <w:t>prijenosa</w:t>
      </w:r>
      <w:proofErr w:type="spellEnd"/>
      <w:r>
        <w:t xml:space="preserve"> </w:t>
      </w:r>
      <w:proofErr w:type="spellStart"/>
      <w:r>
        <w:t>između</w:t>
      </w:r>
      <w:proofErr w:type="spellEnd"/>
      <w:r>
        <w:t xml:space="preserve"> </w:t>
      </w:r>
      <w:proofErr w:type="spellStart"/>
      <w:r>
        <w:t>proračunskih</w:t>
      </w:r>
      <w:proofErr w:type="spellEnd"/>
      <w:r>
        <w:t xml:space="preserve"> </w:t>
      </w:r>
      <w:proofErr w:type="spellStart"/>
      <w:r>
        <w:t>korisnika</w:t>
      </w:r>
      <w:proofErr w:type="spellEnd"/>
      <w:r>
        <w:t xml:space="preserve"> </w:t>
      </w:r>
      <w:proofErr w:type="spellStart"/>
      <w:r>
        <w:t>istog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, </w:t>
      </w:r>
      <w:proofErr w:type="spellStart"/>
      <w:r>
        <w:t>temeljem</w:t>
      </w:r>
      <w:proofErr w:type="spellEnd"/>
      <w:r>
        <w:t xml:space="preserve"> </w:t>
      </w:r>
      <w:proofErr w:type="spellStart"/>
      <w:r>
        <w:t>prijenosa</w:t>
      </w:r>
      <w:proofErr w:type="spellEnd"/>
      <w:r>
        <w:t xml:space="preserve"> EU </w:t>
      </w:r>
      <w:proofErr w:type="spellStart"/>
      <w:r>
        <w:t>sredstava</w:t>
      </w:r>
      <w:proofErr w:type="spellEnd"/>
      <w:r>
        <w:t xml:space="preserve">, </w:t>
      </w:r>
      <w:proofErr w:type="spellStart"/>
      <w:r>
        <w:t>rezultat</w:t>
      </w:r>
      <w:proofErr w:type="spellEnd"/>
      <w:r>
        <w:t xml:space="preserve"> je </w:t>
      </w:r>
      <w:proofErr w:type="spellStart"/>
      <w:r>
        <w:t>ostvarenih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od </w:t>
      </w:r>
      <w:proofErr w:type="spellStart"/>
      <w:r>
        <w:t>ulaganja</w:t>
      </w:r>
      <w:proofErr w:type="spellEnd"/>
      <w:r>
        <w:t xml:space="preserve"> u </w:t>
      </w:r>
      <w:proofErr w:type="spellStart"/>
      <w:r>
        <w:t>okviru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Nacionalnog</w:t>
      </w:r>
      <w:proofErr w:type="spellEnd"/>
      <w:r>
        <w:t xml:space="preserve"> plana </w:t>
      </w:r>
      <w:proofErr w:type="spellStart"/>
      <w:r>
        <w:t>oporavka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otpornosti</w:t>
      </w:r>
      <w:proofErr w:type="spellEnd"/>
      <w:r>
        <w:t xml:space="preserve"> (NPOO) u </w:t>
      </w:r>
      <w:proofErr w:type="spellStart"/>
      <w:r>
        <w:t>iznosu</w:t>
      </w:r>
      <w:proofErr w:type="spellEnd"/>
      <w:r>
        <w:t xml:space="preserve"> od 107.814,10 EUR,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</w:t>
      </w:r>
      <w:r>
        <w:t>hoda</w:t>
      </w:r>
      <w:proofErr w:type="spellEnd"/>
      <w:r>
        <w:t xml:space="preserve"> </w:t>
      </w:r>
      <w:proofErr w:type="spellStart"/>
      <w:r>
        <w:t>ostvarenih</w:t>
      </w:r>
      <w:proofErr w:type="spellEnd"/>
      <w:r>
        <w:t xml:space="preserve"> </w:t>
      </w:r>
      <w:proofErr w:type="spellStart"/>
      <w:r>
        <w:t>provedbom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„</w:t>
      </w:r>
      <w:proofErr w:type="spellStart"/>
      <w:r>
        <w:t>Inkluzija</w:t>
      </w:r>
      <w:proofErr w:type="spellEnd"/>
      <w:r>
        <w:t xml:space="preserve"> – </w:t>
      </w:r>
      <w:proofErr w:type="spellStart"/>
      <w:r>
        <w:t>korak</w:t>
      </w:r>
      <w:proofErr w:type="spellEnd"/>
      <w:r>
        <w:t xml:space="preserve"> </w:t>
      </w:r>
      <w:proofErr w:type="spellStart"/>
      <w:r>
        <w:t>bliže</w:t>
      </w:r>
      <w:proofErr w:type="spellEnd"/>
      <w:r>
        <w:t xml:space="preserve"> </w:t>
      </w:r>
      <w:proofErr w:type="spellStart"/>
      <w:r>
        <w:t>društvu</w:t>
      </w:r>
      <w:proofErr w:type="spellEnd"/>
      <w:r>
        <w:t xml:space="preserve"> bez </w:t>
      </w:r>
      <w:proofErr w:type="spellStart"/>
      <w:proofErr w:type="gramStart"/>
      <w:r>
        <w:t>prepreka</w:t>
      </w:r>
      <w:proofErr w:type="spellEnd"/>
      <w:r>
        <w:t>“</w:t>
      </w:r>
      <w:proofErr w:type="gramEnd"/>
      <w:r>
        <w:t xml:space="preserve">, </w:t>
      </w:r>
      <w:proofErr w:type="spellStart"/>
      <w:r>
        <w:t>faza</w:t>
      </w:r>
      <w:proofErr w:type="spellEnd"/>
      <w:r>
        <w:t xml:space="preserve"> V, u </w:t>
      </w:r>
      <w:proofErr w:type="spellStart"/>
      <w:r>
        <w:t>iznosu</w:t>
      </w:r>
      <w:proofErr w:type="spellEnd"/>
      <w:r>
        <w:t xml:space="preserve"> od 10.327,40 EUR.</w:t>
      </w:r>
    </w:p>
    <w:p w14:paraId="062E1EEB" w14:textId="77777777" w:rsidR="0092186F" w:rsidRDefault="0092186F"/>
    <w:p w14:paraId="3264E3BB" w14:textId="77777777" w:rsidR="0092186F" w:rsidRDefault="00CD503B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2186F" w14:paraId="29967ED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8145E9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63F8B2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48CAF0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9E1FD8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388652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85E45D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2186F" w14:paraId="2BC4DC2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8C69F4" w14:textId="77777777" w:rsidR="0092186F" w:rsidRDefault="00CD50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EC96E6F" w14:textId="77777777" w:rsidR="0092186F" w:rsidRDefault="00CD503B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z w:val="18"/>
              </w:rPr>
              <w:t xml:space="preserve"> od </w:t>
            </w:r>
            <w:proofErr w:type="spellStart"/>
            <w:r>
              <w:rPr>
                <w:sz w:val="18"/>
              </w:rPr>
              <w:t>upravnih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administrativnih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pristojbi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pristojbi</w:t>
            </w:r>
            <w:proofErr w:type="spellEnd"/>
            <w:r>
              <w:rPr>
                <w:sz w:val="18"/>
              </w:rPr>
              <w:t xml:space="preserve"> po </w:t>
            </w:r>
            <w:proofErr w:type="spellStart"/>
            <w:r>
              <w:rPr>
                <w:sz w:val="18"/>
              </w:rPr>
              <w:t>posebnim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propisima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naknada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651+652+653+654)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9E8C63" w14:textId="77777777" w:rsidR="0092186F" w:rsidRDefault="00CD50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7C99AB" w14:textId="77777777" w:rsidR="0092186F" w:rsidRDefault="00CD50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1.379,57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1FF796" w14:textId="77777777" w:rsidR="0092186F" w:rsidRDefault="00CD50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1.157,26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69ED63" w14:textId="77777777" w:rsidR="0092186F" w:rsidRDefault="00CD50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83,9</w:t>
            </w:r>
          </w:p>
        </w:tc>
      </w:tr>
    </w:tbl>
    <w:p w14:paraId="3A3E0587" w14:textId="77777777" w:rsidR="0092186F" w:rsidRDefault="0092186F">
      <w:pPr>
        <w:spacing w:after="0"/>
      </w:pPr>
    </w:p>
    <w:p w14:paraId="7866EB93" w14:textId="77777777" w:rsidR="0092186F" w:rsidRDefault="00CD503B">
      <w:proofErr w:type="spellStart"/>
      <w:r>
        <w:t>Smanjenje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od </w:t>
      </w:r>
      <w:proofErr w:type="spellStart"/>
      <w:r>
        <w:t>upravnih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administrativnih</w:t>
      </w:r>
      <w:proofErr w:type="spellEnd"/>
      <w:r>
        <w:t xml:space="preserve"> </w:t>
      </w:r>
      <w:proofErr w:type="spellStart"/>
      <w:r>
        <w:t>pristojbi</w:t>
      </w:r>
      <w:proofErr w:type="spellEnd"/>
      <w:r>
        <w:t xml:space="preserve">, </w:t>
      </w:r>
      <w:proofErr w:type="spellStart"/>
      <w:r>
        <w:t>pristojbi</w:t>
      </w:r>
      <w:proofErr w:type="spellEnd"/>
      <w:r>
        <w:t xml:space="preserve"> po </w:t>
      </w:r>
      <w:proofErr w:type="spellStart"/>
      <w:r>
        <w:t>posebnim</w:t>
      </w:r>
      <w:proofErr w:type="spellEnd"/>
      <w:r>
        <w:t xml:space="preserve"> </w:t>
      </w:r>
      <w:proofErr w:type="spellStart"/>
      <w:r>
        <w:t>propisima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naknada</w:t>
      </w:r>
      <w:proofErr w:type="spellEnd"/>
      <w:r>
        <w:t xml:space="preserve"> </w:t>
      </w:r>
      <w:proofErr w:type="spellStart"/>
      <w:r>
        <w:t>posljedica</w:t>
      </w:r>
      <w:proofErr w:type="spellEnd"/>
      <w:r>
        <w:t xml:space="preserve"> je </w:t>
      </w:r>
      <w:proofErr w:type="spellStart"/>
      <w:r>
        <w:t>smanjenja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od </w:t>
      </w:r>
      <w:proofErr w:type="spellStart"/>
      <w:r>
        <w:t>izdavanja</w:t>
      </w:r>
      <w:proofErr w:type="spellEnd"/>
      <w:r>
        <w:t xml:space="preserve"> </w:t>
      </w:r>
      <w:proofErr w:type="spellStart"/>
      <w:r>
        <w:t>duplikata</w:t>
      </w:r>
      <w:proofErr w:type="spellEnd"/>
      <w:r>
        <w:t xml:space="preserve"> </w:t>
      </w:r>
      <w:proofErr w:type="spellStart"/>
      <w:r>
        <w:t>svjedodžbi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prethodnu</w:t>
      </w:r>
      <w:proofErr w:type="spellEnd"/>
      <w:r>
        <w:t xml:space="preserve"> </w:t>
      </w:r>
      <w:proofErr w:type="spellStart"/>
      <w:r>
        <w:t>godinu</w:t>
      </w:r>
      <w:proofErr w:type="spellEnd"/>
      <w:r>
        <w:t>.</w:t>
      </w:r>
    </w:p>
    <w:p w14:paraId="1F6856F2" w14:textId="77777777" w:rsidR="0092186F" w:rsidRDefault="00CD503B">
      <w:r>
        <w:t> </w:t>
      </w:r>
    </w:p>
    <w:p w14:paraId="00DC552A" w14:textId="77777777" w:rsidR="0092186F" w:rsidRDefault="0092186F"/>
    <w:p w14:paraId="1FBBD82B" w14:textId="77777777" w:rsidR="0092186F" w:rsidRDefault="00CD503B">
      <w:pPr>
        <w:keepNext/>
        <w:spacing w:line="240" w:lineRule="auto"/>
        <w:jc w:val="center"/>
      </w:pPr>
      <w:proofErr w:type="spellStart"/>
      <w:r>
        <w:rPr>
          <w:sz w:val="28"/>
        </w:rPr>
        <w:lastRenderedPageBreak/>
        <w:t>Bilješka</w:t>
      </w:r>
      <w:proofErr w:type="spellEnd"/>
      <w:r>
        <w:rPr>
          <w:sz w:val="28"/>
        </w:rPr>
        <w:t xml:space="preserve">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2186F" w14:paraId="348670B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60AE09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014808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3511F1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FE2122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</w:t>
            </w:r>
            <w:r>
              <w:rPr>
                <w:b/>
                <w:sz w:val="18"/>
              </w:rPr>
              <w:t>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49D7A1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E1F525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2186F" w14:paraId="331BE43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9FA7D4" w14:textId="77777777" w:rsidR="0092186F" w:rsidRDefault="00CD50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F62717" w14:textId="77777777" w:rsidR="0092186F" w:rsidRDefault="00CD503B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z w:val="18"/>
              </w:rPr>
              <w:t xml:space="preserve"> od </w:t>
            </w:r>
            <w:proofErr w:type="spellStart"/>
            <w:r>
              <w:rPr>
                <w:sz w:val="18"/>
              </w:rPr>
              <w:t>prodaje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proizvoda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robe </w:t>
            </w:r>
            <w:proofErr w:type="spellStart"/>
            <w:r>
              <w:rPr>
                <w:sz w:val="18"/>
              </w:rPr>
              <w:t>te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pruženih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usluga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6614+6615)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46643D" w14:textId="77777777" w:rsidR="0092186F" w:rsidRDefault="00CD50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804B8F" w14:textId="77777777" w:rsidR="0092186F" w:rsidRDefault="00CD50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14.919,28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DF66CA" w14:textId="77777777" w:rsidR="0092186F" w:rsidRDefault="00CD50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7.021,10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775C47" w14:textId="77777777" w:rsidR="0092186F" w:rsidRDefault="00CD50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47,1</w:t>
            </w:r>
          </w:p>
        </w:tc>
      </w:tr>
    </w:tbl>
    <w:p w14:paraId="500FC6D6" w14:textId="77777777" w:rsidR="0092186F" w:rsidRDefault="0092186F">
      <w:pPr>
        <w:spacing w:after="0"/>
      </w:pPr>
    </w:p>
    <w:p w14:paraId="084BCEF2" w14:textId="77777777" w:rsidR="0092186F" w:rsidRDefault="00CD503B">
      <w:proofErr w:type="spellStart"/>
      <w:r>
        <w:t>Smanjenje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od </w:t>
      </w:r>
      <w:proofErr w:type="spellStart"/>
      <w:r>
        <w:t>prodaje</w:t>
      </w:r>
      <w:proofErr w:type="spellEnd"/>
      <w:r>
        <w:t xml:space="preserve"> </w:t>
      </w:r>
      <w:proofErr w:type="spellStart"/>
      <w:r>
        <w:t>proizvoda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robe </w:t>
      </w:r>
      <w:proofErr w:type="spellStart"/>
      <w:r>
        <w:t>te</w:t>
      </w:r>
      <w:proofErr w:type="spellEnd"/>
      <w:r>
        <w:t xml:space="preserve"> </w:t>
      </w:r>
      <w:proofErr w:type="spellStart"/>
      <w:r>
        <w:t>pruženih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 u 2025. </w:t>
      </w:r>
      <w:proofErr w:type="spellStart"/>
      <w:r>
        <w:t>godini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prethodnu</w:t>
      </w:r>
      <w:proofErr w:type="spellEnd"/>
      <w:r>
        <w:t xml:space="preserve"> </w:t>
      </w:r>
      <w:proofErr w:type="spellStart"/>
      <w:r>
        <w:t>godinu</w:t>
      </w:r>
      <w:proofErr w:type="spellEnd"/>
      <w:r>
        <w:t xml:space="preserve"> </w:t>
      </w:r>
      <w:proofErr w:type="spellStart"/>
      <w:r>
        <w:t>rezultat</w:t>
      </w:r>
      <w:proofErr w:type="spellEnd"/>
      <w:r>
        <w:t xml:space="preserve"> je </w:t>
      </w:r>
      <w:proofErr w:type="spellStart"/>
      <w:r>
        <w:t>činjenice</w:t>
      </w:r>
      <w:proofErr w:type="spellEnd"/>
      <w:r>
        <w:t xml:space="preserve"> da </w:t>
      </w:r>
      <w:proofErr w:type="spellStart"/>
      <w:r>
        <w:t>škola</w:t>
      </w:r>
      <w:proofErr w:type="spellEnd"/>
      <w:r>
        <w:t xml:space="preserve"> 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provodila</w:t>
      </w:r>
      <w:proofErr w:type="spellEnd"/>
      <w:r>
        <w:t xml:space="preserve"> </w:t>
      </w:r>
      <w:proofErr w:type="spellStart"/>
      <w:r>
        <w:t>novi</w:t>
      </w:r>
      <w:proofErr w:type="spellEnd"/>
      <w:r>
        <w:t xml:space="preserve"> </w:t>
      </w:r>
      <w:proofErr w:type="spellStart"/>
      <w:r>
        <w:t>ciklus</w:t>
      </w:r>
      <w:proofErr w:type="spellEnd"/>
      <w:r>
        <w:t xml:space="preserve"> </w:t>
      </w:r>
      <w:proofErr w:type="spellStart"/>
      <w:r>
        <w:t>obrazovanja</w:t>
      </w:r>
      <w:proofErr w:type="spellEnd"/>
      <w:r>
        <w:t xml:space="preserve"> </w:t>
      </w:r>
      <w:proofErr w:type="spellStart"/>
      <w:r>
        <w:t>odraslih</w:t>
      </w:r>
      <w:proofErr w:type="spellEnd"/>
      <w:r>
        <w:t>.</w:t>
      </w:r>
    </w:p>
    <w:p w14:paraId="5F4ECD2A" w14:textId="77777777" w:rsidR="0092186F" w:rsidRDefault="0092186F"/>
    <w:p w14:paraId="6D21A763" w14:textId="77777777" w:rsidR="0092186F" w:rsidRDefault="00CD503B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2186F" w14:paraId="276024D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1F66B8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B46E19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</w:t>
            </w:r>
            <w:r>
              <w:rPr>
                <w:b/>
                <w:sz w:val="18"/>
              </w:rPr>
              <w:t>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F072F9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7795A4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B4B6F3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DB8A93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2186F" w14:paraId="0C859B1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70F942" w14:textId="77777777" w:rsidR="0092186F" w:rsidRDefault="00CD50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F172D92" w14:textId="77777777" w:rsidR="0092186F" w:rsidRDefault="00CD503B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nadležnog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proračuna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financiranje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rashoda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poslovanja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3C16A6" w14:textId="77777777" w:rsidR="0092186F" w:rsidRDefault="00CD50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3DCBA0" w14:textId="77777777" w:rsidR="0092186F" w:rsidRDefault="00CD50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163.499,34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B9938F" w14:textId="77777777" w:rsidR="0092186F" w:rsidRDefault="00CD50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212.087,47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5EDE5F" w14:textId="77777777" w:rsidR="0092186F" w:rsidRDefault="00CD50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129,7</w:t>
            </w:r>
          </w:p>
        </w:tc>
      </w:tr>
    </w:tbl>
    <w:p w14:paraId="7C9B53C9" w14:textId="77777777" w:rsidR="0092186F" w:rsidRDefault="0092186F">
      <w:pPr>
        <w:spacing w:after="0"/>
      </w:pPr>
    </w:p>
    <w:p w14:paraId="6DEA5113" w14:textId="77777777" w:rsidR="0092186F" w:rsidRDefault="00CD503B">
      <w:proofErr w:type="spellStart"/>
      <w:r>
        <w:t>Povećanje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nadležnog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za </w:t>
      </w:r>
      <w:proofErr w:type="spellStart"/>
      <w:r>
        <w:t>financiranje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prethodnu</w:t>
      </w:r>
      <w:proofErr w:type="spellEnd"/>
      <w:r>
        <w:t xml:space="preserve"> </w:t>
      </w:r>
      <w:proofErr w:type="spellStart"/>
      <w:r>
        <w:t>godinu</w:t>
      </w:r>
      <w:proofErr w:type="spellEnd"/>
      <w:r>
        <w:t xml:space="preserve"> </w:t>
      </w:r>
      <w:proofErr w:type="spellStart"/>
      <w:r>
        <w:t>rezultat</w:t>
      </w:r>
      <w:proofErr w:type="spellEnd"/>
      <w:r>
        <w:t xml:space="preserve"> je </w:t>
      </w:r>
      <w:proofErr w:type="spellStart"/>
      <w:r>
        <w:t>većeg</w:t>
      </w:r>
      <w:proofErr w:type="spellEnd"/>
      <w:r>
        <w:t xml:space="preserve"> </w:t>
      </w:r>
      <w:proofErr w:type="spellStart"/>
      <w:r>
        <w:t>udjela</w:t>
      </w:r>
      <w:proofErr w:type="spellEnd"/>
      <w:r>
        <w:t xml:space="preserve"> </w:t>
      </w:r>
      <w:proofErr w:type="spellStart"/>
      <w:r>
        <w:t>financiranja</w:t>
      </w:r>
      <w:proofErr w:type="spellEnd"/>
      <w:r>
        <w:t xml:space="preserve"> </w:t>
      </w:r>
      <w:proofErr w:type="spellStart"/>
      <w:r>
        <w:t>plaća</w:t>
      </w:r>
      <w:proofErr w:type="spellEnd"/>
      <w:r>
        <w:t xml:space="preserve"> </w:t>
      </w:r>
      <w:proofErr w:type="spellStart"/>
      <w:r>
        <w:t>pomoćnika</w:t>
      </w:r>
      <w:proofErr w:type="spellEnd"/>
      <w:r>
        <w:t xml:space="preserve"> u </w:t>
      </w:r>
      <w:proofErr w:type="spellStart"/>
      <w:r>
        <w:t>nastavi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</w:t>
      </w:r>
      <w:proofErr w:type="spellStart"/>
      <w:r>
        <w:t>Županije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povećanja</w:t>
      </w:r>
      <w:proofErr w:type="spellEnd"/>
      <w:r>
        <w:t xml:space="preserve"> </w:t>
      </w:r>
      <w:proofErr w:type="spellStart"/>
      <w:r>
        <w:t>materijalnih</w:t>
      </w:r>
      <w:proofErr w:type="spellEnd"/>
      <w:r>
        <w:t xml:space="preserve"> </w:t>
      </w:r>
      <w:proofErr w:type="spellStart"/>
      <w:r>
        <w:t>troškova</w:t>
      </w:r>
      <w:proofErr w:type="spellEnd"/>
      <w:r>
        <w:t xml:space="preserve"> </w:t>
      </w:r>
      <w:proofErr w:type="spellStart"/>
      <w:r>
        <w:t>nužnih</w:t>
      </w:r>
      <w:proofErr w:type="spellEnd"/>
      <w:r>
        <w:t xml:space="preserve"> za </w:t>
      </w:r>
      <w:proofErr w:type="spellStart"/>
      <w:r>
        <w:t>redovno</w:t>
      </w:r>
      <w:proofErr w:type="spellEnd"/>
      <w:r>
        <w:t xml:space="preserve"> </w:t>
      </w:r>
      <w:proofErr w:type="spellStart"/>
      <w:r>
        <w:t>poslovan</w:t>
      </w:r>
      <w:r>
        <w:t>je</w:t>
      </w:r>
      <w:proofErr w:type="spellEnd"/>
      <w:r>
        <w:t xml:space="preserve"> </w:t>
      </w:r>
      <w:proofErr w:type="spellStart"/>
      <w:r>
        <w:t>škole</w:t>
      </w:r>
      <w:proofErr w:type="spellEnd"/>
      <w:r>
        <w:t>.</w:t>
      </w:r>
    </w:p>
    <w:p w14:paraId="51353BC4" w14:textId="77777777" w:rsidR="0092186F" w:rsidRDefault="0092186F"/>
    <w:p w14:paraId="02429D68" w14:textId="77777777" w:rsidR="0092186F" w:rsidRDefault="00CD503B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2186F" w14:paraId="33F3B68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9D5208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60E00A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7FB607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76EE94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AB7AE9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96F9A3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2186F" w14:paraId="75D5DEE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AD8BCB" w14:textId="77777777" w:rsidR="0092186F" w:rsidRDefault="00CD50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7D8BA2C" w14:textId="77777777" w:rsidR="0092186F" w:rsidRDefault="00CD503B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Plaće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bruto</w:t>
            </w:r>
            <w:proofErr w:type="spellEnd"/>
            <w:r>
              <w:rPr>
                <w:sz w:val="18"/>
              </w:rPr>
              <w:t>)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3111 do 3114)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6AF223" w14:textId="77777777" w:rsidR="0092186F" w:rsidRDefault="00CD50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D825D9" w14:textId="77777777" w:rsidR="0092186F" w:rsidRDefault="00CD50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1.704.781,62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30B658" w14:textId="77777777" w:rsidR="0092186F" w:rsidRDefault="00CD50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1.975.037,17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D036DF" w14:textId="77777777" w:rsidR="0092186F" w:rsidRDefault="00CD50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115,9</w:t>
            </w:r>
          </w:p>
        </w:tc>
      </w:tr>
    </w:tbl>
    <w:p w14:paraId="28D43DB9" w14:textId="77777777" w:rsidR="0092186F" w:rsidRDefault="0092186F">
      <w:pPr>
        <w:spacing w:after="0"/>
      </w:pPr>
    </w:p>
    <w:p w14:paraId="7150AFE8" w14:textId="77777777" w:rsidR="0092186F" w:rsidRDefault="00CD503B">
      <w:proofErr w:type="spellStart"/>
      <w:r>
        <w:t>Povećanje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za </w:t>
      </w:r>
      <w:proofErr w:type="spellStart"/>
      <w:r>
        <w:t>plaće</w:t>
      </w:r>
      <w:proofErr w:type="spellEnd"/>
      <w:r>
        <w:t xml:space="preserve"> (</w:t>
      </w:r>
      <w:proofErr w:type="spellStart"/>
      <w:r>
        <w:t>bruto</w:t>
      </w:r>
      <w:proofErr w:type="spellEnd"/>
      <w:r>
        <w:t xml:space="preserve">) </w:t>
      </w:r>
      <w:proofErr w:type="spellStart"/>
      <w:r>
        <w:t>rezultat</w:t>
      </w:r>
      <w:proofErr w:type="spellEnd"/>
      <w:r>
        <w:t xml:space="preserve"> je </w:t>
      </w:r>
      <w:proofErr w:type="spellStart"/>
      <w:r>
        <w:t>ukidanja</w:t>
      </w:r>
      <w:proofErr w:type="spellEnd"/>
      <w:r>
        <w:t xml:space="preserve"> </w:t>
      </w:r>
      <w:proofErr w:type="spellStart"/>
      <w:r>
        <w:t>kontinuiranih</w:t>
      </w:r>
      <w:proofErr w:type="spellEnd"/>
      <w:r>
        <w:t xml:space="preserve"> </w:t>
      </w:r>
      <w:proofErr w:type="spellStart"/>
      <w:r>
        <w:t>troškova</w:t>
      </w:r>
      <w:proofErr w:type="spellEnd"/>
      <w:r>
        <w:t xml:space="preserve">,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čega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plaće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materijalna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za </w:t>
      </w:r>
      <w:proofErr w:type="spellStart"/>
      <w:r>
        <w:t>mjesec</w:t>
      </w:r>
      <w:proofErr w:type="spellEnd"/>
      <w:r>
        <w:t xml:space="preserve"> </w:t>
      </w:r>
      <w:proofErr w:type="spellStart"/>
      <w:r>
        <w:t>prosinac</w:t>
      </w:r>
      <w:proofErr w:type="spellEnd"/>
      <w:r>
        <w:t xml:space="preserve"> </w:t>
      </w:r>
      <w:proofErr w:type="spellStart"/>
      <w:r>
        <w:t>izravno</w:t>
      </w:r>
      <w:proofErr w:type="spellEnd"/>
      <w:r>
        <w:t xml:space="preserve"> </w:t>
      </w:r>
      <w:proofErr w:type="spellStart"/>
      <w:r>
        <w:t>knjiženi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rashode</w:t>
      </w:r>
      <w:proofErr w:type="spellEnd"/>
      <w:r>
        <w:t xml:space="preserve">. </w:t>
      </w:r>
      <w:proofErr w:type="spellStart"/>
      <w:r>
        <w:t>Dodatno</w:t>
      </w:r>
      <w:proofErr w:type="spellEnd"/>
      <w:r>
        <w:t xml:space="preserve">, do </w:t>
      </w:r>
      <w:proofErr w:type="spellStart"/>
      <w:r>
        <w:t>povećanja</w:t>
      </w:r>
      <w:proofErr w:type="spellEnd"/>
      <w:r>
        <w:t xml:space="preserve"> je </w:t>
      </w:r>
      <w:proofErr w:type="spellStart"/>
      <w:r>
        <w:t>došlo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uslijed</w:t>
      </w:r>
      <w:proofErr w:type="spellEnd"/>
      <w:r>
        <w:t xml:space="preserve"> </w:t>
      </w:r>
      <w:proofErr w:type="spellStart"/>
      <w:r>
        <w:t>stupanja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snagu</w:t>
      </w:r>
      <w:proofErr w:type="spellEnd"/>
      <w:r>
        <w:t xml:space="preserve"> </w:t>
      </w:r>
      <w:proofErr w:type="spellStart"/>
      <w:r>
        <w:t>nove</w:t>
      </w:r>
      <w:proofErr w:type="spellEnd"/>
      <w:r>
        <w:t xml:space="preserve"> </w:t>
      </w:r>
      <w:proofErr w:type="spellStart"/>
      <w:r>
        <w:t>Uredbe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rasta</w:t>
      </w:r>
      <w:proofErr w:type="spellEnd"/>
      <w:r>
        <w:t xml:space="preserve"> </w:t>
      </w:r>
      <w:proofErr w:type="spellStart"/>
      <w:r>
        <w:t>trošk</w:t>
      </w:r>
      <w:r>
        <w:t>ova</w:t>
      </w:r>
      <w:proofErr w:type="spellEnd"/>
      <w:r>
        <w:t xml:space="preserve"> </w:t>
      </w:r>
      <w:proofErr w:type="spellStart"/>
      <w:r>
        <w:t>plaća</w:t>
      </w:r>
      <w:proofErr w:type="spellEnd"/>
      <w:r>
        <w:t xml:space="preserve"> </w:t>
      </w:r>
      <w:proofErr w:type="spellStart"/>
      <w:r>
        <w:t>pomoćnika</w:t>
      </w:r>
      <w:proofErr w:type="spellEnd"/>
      <w:r>
        <w:t xml:space="preserve"> u </w:t>
      </w:r>
      <w:proofErr w:type="spellStart"/>
      <w:r>
        <w:t>nastavi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većeg</w:t>
      </w:r>
      <w:proofErr w:type="spellEnd"/>
      <w:r>
        <w:t xml:space="preserve"> </w:t>
      </w:r>
      <w:proofErr w:type="spellStart"/>
      <w:r>
        <w:t>broja</w:t>
      </w:r>
      <w:proofErr w:type="spellEnd"/>
      <w:r>
        <w:t xml:space="preserve"> </w:t>
      </w:r>
      <w:proofErr w:type="spellStart"/>
      <w:r>
        <w:t>angažiranih</w:t>
      </w:r>
      <w:proofErr w:type="spellEnd"/>
      <w:r>
        <w:t xml:space="preserve"> </w:t>
      </w:r>
      <w:proofErr w:type="spellStart"/>
      <w:r>
        <w:t>pomoćnika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prethodnu</w:t>
      </w:r>
      <w:proofErr w:type="spellEnd"/>
      <w:r>
        <w:t xml:space="preserve"> </w:t>
      </w:r>
      <w:proofErr w:type="spellStart"/>
      <w:r>
        <w:t>godinu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povećanja</w:t>
      </w:r>
      <w:proofErr w:type="spellEnd"/>
      <w:r>
        <w:t xml:space="preserve"> </w:t>
      </w:r>
      <w:proofErr w:type="spellStart"/>
      <w:r>
        <w:t>njihove</w:t>
      </w:r>
      <w:proofErr w:type="spellEnd"/>
      <w:r>
        <w:t xml:space="preserve"> </w:t>
      </w:r>
      <w:proofErr w:type="spellStart"/>
      <w:r>
        <w:t>bruto</w:t>
      </w:r>
      <w:proofErr w:type="spellEnd"/>
      <w:r>
        <w:t xml:space="preserve"> </w:t>
      </w:r>
      <w:proofErr w:type="spellStart"/>
      <w:r>
        <w:t>satnice</w:t>
      </w:r>
      <w:proofErr w:type="spellEnd"/>
      <w:r>
        <w:t>.</w:t>
      </w:r>
    </w:p>
    <w:p w14:paraId="3F793EFB" w14:textId="77777777" w:rsidR="0092186F" w:rsidRDefault="0092186F"/>
    <w:p w14:paraId="29720C03" w14:textId="77777777" w:rsidR="0092186F" w:rsidRDefault="00CD503B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2186F" w14:paraId="0A9DE18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4386FD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9E5EB8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A48546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998C65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ABE0DA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</w:t>
            </w:r>
            <w:r>
              <w:rPr>
                <w:b/>
                <w:sz w:val="18"/>
              </w:rPr>
              <w:t>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DDBCB9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2186F" w14:paraId="17E6512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E193C4" w14:textId="77777777" w:rsidR="0092186F" w:rsidRDefault="00CD50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9EEA7FD" w14:textId="77777777" w:rsidR="0092186F" w:rsidRDefault="00CD503B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Ostali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rashodi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zaposlene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AF49F5" w14:textId="77777777" w:rsidR="0092186F" w:rsidRDefault="00CD50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B52CEC" w14:textId="77777777" w:rsidR="0092186F" w:rsidRDefault="00CD50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73.802,37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892963" w14:textId="77777777" w:rsidR="0092186F" w:rsidRDefault="00CD50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67.031,44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0571AA" w14:textId="77777777" w:rsidR="0092186F" w:rsidRDefault="00CD50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90,8</w:t>
            </w:r>
          </w:p>
        </w:tc>
      </w:tr>
    </w:tbl>
    <w:p w14:paraId="79C479E4" w14:textId="77777777" w:rsidR="0092186F" w:rsidRDefault="0092186F">
      <w:pPr>
        <w:spacing w:after="0"/>
      </w:pPr>
    </w:p>
    <w:p w14:paraId="01852488" w14:textId="77777777" w:rsidR="0092186F" w:rsidRDefault="00CD503B">
      <w:proofErr w:type="spellStart"/>
      <w:r>
        <w:t>Ostali</w:t>
      </w:r>
      <w:proofErr w:type="spellEnd"/>
      <w:r>
        <w:t xml:space="preserve"> </w:t>
      </w:r>
      <w:proofErr w:type="spellStart"/>
      <w:r>
        <w:t>rashodi</w:t>
      </w:r>
      <w:proofErr w:type="spellEnd"/>
      <w:r>
        <w:t xml:space="preserve"> za </w:t>
      </w:r>
      <w:proofErr w:type="spellStart"/>
      <w:r>
        <w:t>zaposlene</w:t>
      </w:r>
      <w:proofErr w:type="spellEnd"/>
      <w:r>
        <w:t xml:space="preserve"> </w:t>
      </w:r>
      <w:proofErr w:type="spellStart"/>
      <w:r>
        <w:t>odnose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isplate</w:t>
      </w:r>
      <w:proofErr w:type="spellEnd"/>
      <w:r>
        <w:t xml:space="preserve"> </w:t>
      </w:r>
      <w:proofErr w:type="spellStart"/>
      <w:r>
        <w:t>materijalnih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zaposlenika</w:t>
      </w:r>
      <w:proofErr w:type="spellEnd"/>
      <w:r>
        <w:t xml:space="preserve">, </w:t>
      </w:r>
      <w:proofErr w:type="spellStart"/>
      <w:r>
        <w:t>uključujući</w:t>
      </w:r>
      <w:proofErr w:type="spellEnd"/>
      <w:r>
        <w:t xml:space="preserve"> </w:t>
      </w:r>
      <w:proofErr w:type="spellStart"/>
      <w:r>
        <w:t>otpremnine</w:t>
      </w:r>
      <w:proofErr w:type="spellEnd"/>
      <w:r>
        <w:t xml:space="preserve"> </w:t>
      </w:r>
      <w:proofErr w:type="spellStart"/>
      <w:r>
        <w:t>prilikom</w:t>
      </w:r>
      <w:proofErr w:type="spellEnd"/>
      <w:r>
        <w:t xml:space="preserve"> </w:t>
      </w:r>
      <w:proofErr w:type="spellStart"/>
      <w:r>
        <w:t>odlaska</w:t>
      </w:r>
      <w:proofErr w:type="spellEnd"/>
      <w:r>
        <w:t xml:space="preserve"> u </w:t>
      </w:r>
      <w:proofErr w:type="spellStart"/>
      <w:r>
        <w:t>mirovinu</w:t>
      </w:r>
      <w:proofErr w:type="spellEnd"/>
      <w:r>
        <w:t xml:space="preserve">, </w:t>
      </w:r>
      <w:proofErr w:type="spellStart"/>
      <w:r>
        <w:t>regres</w:t>
      </w:r>
      <w:proofErr w:type="spellEnd"/>
      <w:r>
        <w:t xml:space="preserve"> za </w:t>
      </w:r>
      <w:proofErr w:type="spellStart"/>
      <w:r>
        <w:t>godišnji</w:t>
      </w:r>
      <w:proofErr w:type="spellEnd"/>
      <w:r>
        <w:t xml:space="preserve"> </w:t>
      </w:r>
      <w:proofErr w:type="spellStart"/>
      <w:r>
        <w:t>odmor</w:t>
      </w:r>
      <w:proofErr w:type="spellEnd"/>
      <w:r>
        <w:t xml:space="preserve">, </w:t>
      </w:r>
      <w:proofErr w:type="spellStart"/>
      <w:r>
        <w:t>uskrsnice</w:t>
      </w:r>
      <w:proofErr w:type="spellEnd"/>
      <w:r>
        <w:t xml:space="preserve">, </w:t>
      </w:r>
      <w:proofErr w:type="spellStart"/>
      <w:r>
        <w:t>potpore</w:t>
      </w:r>
      <w:proofErr w:type="spellEnd"/>
      <w:r>
        <w:t xml:space="preserve"> za </w:t>
      </w:r>
      <w:proofErr w:type="spellStart"/>
      <w:r>
        <w:lastRenderedPageBreak/>
        <w:t>novorođeno</w:t>
      </w:r>
      <w:proofErr w:type="spellEnd"/>
      <w:r>
        <w:t xml:space="preserve"> </w:t>
      </w:r>
      <w:proofErr w:type="spellStart"/>
      <w:r>
        <w:t>dijete</w:t>
      </w:r>
      <w:proofErr w:type="spellEnd"/>
      <w:r>
        <w:t xml:space="preserve">, </w:t>
      </w:r>
      <w:proofErr w:type="spellStart"/>
      <w:r>
        <w:t>jubilarne</w:t>
      </w:r>
      <w:proofErr w:type="spellEnd"/>
      <w:r>
        <w:t xml:space="preserve"> </w:t>
      </w:r>
      <w:proofErr w:type="spellStart"/>
      <w:r>
        <w:t>nagrade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slične</w:t>
      </w:r>
      <w:proofErr w:type="spellEnd"/>
      <w:r>
        <w:t xml:space="preserve"> </w:t>
      </w:r>
      <w:proofErr w:type="spellStart"/>
      <w:r>
        <w:t>naknade</w:t>
      </w:r>
      <w:proofErr w:type="spellEnd"/>
      <w:r>
        <w:t xml:space="preserve">. U 2025. </w:t>
      </w:r>
      <w:proofErr w:type="spellStart"/>
      <w:r>
        <w:t>godini</w:t>
      </w:r>
      <w:proofErr w:type="spellEnd"/>
      <w:r>
        <w:t xml:space="preserve"> </w:t>
      </w:r>
      <w:proofErr w:type="spellStart"/>
      <w:r>
        <w:t>zabil</w:t>
      </w:r>
      <w:r>
        <w:t>ježen</w:t>
      </w:r>
      <w:proofErr w:type="spellEnd"/>
      <w:r>
        <w:t xml:space="preserve"> je pad </w:t>
      </w:r>
      <w:proofErr w:type="spellStart"/>
      <w:r>
        <w:t>ovih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, </w:t>
      </w:r>
      <w:proofErr w:type="spellStart"/>
      <w:r>
        <w:t>ponajprije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smanjenog</w:t>
      </w:r>
      <w:proofErr w:type="spellEnd"/>
      <w:r>
        <w:t xml:space="preserve"> </w:t>
      </w:r>
      <w:proofErr w:type="spellStart"/>
      <w:r>
        <w:t>broja</w:t>
      </w:r>
      <w:proofErr w:type="spellEnd"/>
      <w:r>
        <w:t xml:space="preserve"> </w:t>
      </w:r>
      <w:proofErr w:type="spellStart"/>
      <w:r>
        <w:t>zaposlenika</w:t>
      </w:r>
      <w:proofErr w:type="spellEnd"/>
      <w:r>
        <w:t xml:space="preserve"> koji </w:t>
      </w:r>
      <w:proofErr w:type="spellStart"/>
      <w:r>
        <w:t>ostvaruju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otpremnine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jubilarne</w:t>
      </w:r>
      <w:proofErr w:type="spellEnd"/>
      <w:r>
        <w:t xml:space="preserve"> </w:t>
      </w:r>
      <w:proofErr w:type="spellStart"/>
      <w:r>
        <w:t>nagrade</w:t>
      </w:r>
      <w:proofErr w:type="spellEnd"/>
      <w:r>
        <w:t>.</w:t>
      </w:r>
    </w:p>
    <w:p w14:paraId="6BD71CE4" w14:textId="77777777" w:rsidR="0092186F" w:rsidRDefault="0092186F"/>
    <w:p w14:paraId="367C4C78" w14:textId="77777777" w:rsidR="0092186F" w:rsidRDefault="00CD503B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2186F" w14:paraId="2FD822B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8E5D5A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A023A8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84B554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2D346E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411C6D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EC71D7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2186F" w14:paraId="5C472B7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B7B51F" w14:textId="77777777" w:rsidR="0092186F" w:rsidRDefault="00CD50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FAC316A" w14:textId="77777777" w:rsidR="0092186F" w:rsidRDefault="00CD503B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Rashodi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materijal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energiju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3221 do 3227)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F09078" w14:textId="77777777" w:rsidR="0092186F" w:rsidRDefault="00CD50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E300B7" w14:textId="77777777" w:rsidR="0092186F" w:rsidRDefault="00CD50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48.003,60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9F645D" w14:textId="77777777" w:rsidR="0092186F" w:rsidRDefault="00CD50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62.697,01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DA3599" w14:textId="77777777" w:rsidR="0092186F" w:rsidRDefault="00CD50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130,6</w:t>
            </w:r>
          </w:p>
        </w:tc>
      </w:tr>
    </w:tbl>
    <w:p w14:paraId="315C2C62" w14:textId="77777777" w:rsidR="0092186F" w:rsidRDefault="0092186F">
      <w:pPr>
        <w:spacing w:after="0"/>
      </w:pPr>
    </w:p>
    <w:p w14:paraId="381F7A80" w14:textId="77777777" w:rsidR="0092186F" w:rsidRDefault="00CD503B">
      <w:proofErr w:type="spellStart"/>
      <w:r>
        <w:t>Rashodi</w:t>
      </w:r>
      <w:proofErr w:type="spellEnd"/>
      <w:r>
        <w:t xml:space="preserve"> za </w:t>
      </w:r>
      <w:proofErr w:type="spellStart"/>
      <w:r>
        <w:t>materijal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energiju</w:t>
      </w:r>
      <w:proofErr w:type="spellEnd"/>
      <w:r>
        <w:t xml:space="preserve"> </w:t>
      </w:r>
      <w:proofErr w:type="spellStart"/>
      <w:r>
        <w:t>povećani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uslijed</w:t>
      </w:r>
      <w:proofErr w:type="spellEnd"/>
      <w:r>
        <w:t xml:space="preserve"> </w:t>
      </w:r>
      <w:proofErr w:type="spellStart"/>
      <w:r>
        <w:t>veće</w:t>
      </w:r>
      <w:proofErr w:type="spellEnd"/>
      <w:r>
        <w:t xml:space="preserve"> </w:t>
      </w:r>
      <w:proofErr w:type="spellStart"/>
      <w:r>
        <w:t>potrošnje</w:t>
      </w:r>
      <w:proofErr w:type="spellEnd"/>
      <w:r>
        <w:t xml:space="preserve"> </w:t>
      </w:r>
      <w:proofErr w:type="spellStart"/>
      <w:r>
        <w:t>uredskog</w:t>
      </w:r>
      <w:proofErr w:type="spellEnd"/>
      <w:r>
        <w:t xml:space="preserve"> </w:t>
      </w:r>
      <w:proofErr w:type="spellStart"/>
      <w:r>
        <w:t>materijala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materijala</w:t>
      </w:r>
      <w:proofErr w:type="spellEnd"/>
      <w:r>
        <w:t xml:space="preserve"> za </w:t>
      </w:r>
      <w:proofErr w:type="spellStart"/>
      <w:r>
        <w:t>osobnu</w:t>
      </w:r>
      <w:proofErr w:type="spellEnd"/>
      <w:r>
        <w:t xml:space="preserve"> </w:t>
      </w:r>
      <w:proofErr w:type="spellStart"/>
      <w:r>
        <w:t>higijenu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čišćenje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rasta</w:t>
      </w:r>
      <w:proofErr w:type="spellEnd"/>
      <w:r>
        <w:t xml:space="preserve"> </w:t>
      </w:r>
      <w:proofErr w:type="spellStart"/>
      <w:r>
        <w:t>cijene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potrošnje</w:t>
      </w:r>
      <w:proofErr w:type="spellEnd"/>
      <w:r>
        <w:t xml:space="preserve"> </w:t>
      </w:r>
      <w:proofErr w:type="spellStart"/>
      <w:r>
        <w:t>električne</w:t>
      </w:r>
      <w:proofErr w:type="spellEnd"/>
      <w:r>
        <w:t xml:space="preserve"> </w:t>
      </w:r>
      <w:proofErr w:type="spellStart"/>
      <w:r>
        <w:t>energije</w:t>
      </w:r>
      <w:proofErr w:type="spellEnd"/>
      <w:r>
        <w:t>.</w:t>
      </w:r>
    </w:p>
    <w:p w14:paraId="2AAB649B" w14:textId="77777777" w:rsidR="0092186F" w:rsidRDefault="0092186F"/>
    <w:p w14:paraId="0C3F5B90" w14:textId="77777777" w:rsidR="0092186F" w:rsidRDefault="00CD503B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2186F" w14:paraId="59A1AEA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A86133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A5E314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05525B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352999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</w:t>
            </w:r>
            <w:r>
              <w:rPr>
                <w:b/>
                <w:sz w:val="18"/>
              </w:rPr>
              <w:t>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89C9CC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0F4A4A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2186F" w14:paraId="1949B10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B73316" w14:textId="77777777" w:rsidR="0092186F" w:rsidRDefault="00CD50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12F9FB8" w14:textId="77777777" w:rsidR="0092186F" w:rsidRDefault="00CD503B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Materijal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sirovine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0F2FAF" w14:textId="77777777" w:rsidR="0092186F" w:rsidRDefault="00CD50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A51E40" w14:textId="77777777" w:rsidR="0092186F" w:rsidRDefault="00CD50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2.215,11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863046" w14:textId="77777777" w:rsidR="0092186F" w:rsidRDefault="00CD50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4.864,59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F6E206" w14:textId="77777777" w:rsidR="0092186F" w:rsidRDefault="00CD50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219,6</w:t>
            </w:r>
          </w:p>
        </w:tc>
      </w:tr>
    </w:tbl>
    <w:p w14:paraId="3B196A3B" w14:textId="77777777" w:rsidR="0092186F" w:rsidRDefault="0092186F">
      <w:pPr>
        <w:spacing w:after="0"/>
      </w:pPr>
    </w:p>
    <w:p w14:paraId="590D299B" w14:textId="77777777" w:rsidR="0092186F" w:rsidRDefault="00CD503B">
      <w:proofErr w:type="spellStart"/>
      <w:r>
        <w:t>Povećanje</w:t>
      </w:r>
      <w:proofErr w:type="spellEnd"/>
      <w:r>
        <w:t xml:space="preserve"> </w:t>
      </w:r>
      <w:proofErr w:type="spellStart"/>
      <w:r>
        <w:t>troškova</w:t>
      </w:r>
      <w:proofErr w:type="spellEnd"/>
      <w:r>
        <w:t xml:space="preserve"> </w:t>
      </w:r>
      <w:proofErr w:type="spellStart"/>
      <w:r>
        <w:t>tekućeg</w:t>
      </w:r>
      <w:proofErr w:type="spellEnd"/>
      <w:r>
        <w:t xml:space="preserve"> </w:t>
      </w:r>
      <w:proofErr w:type="spellStart"/>
      <w:r>
        <w:t>održavanja</w:t>
      </w:r>
      <w:proofErr w:type="spellEnd"/>
      <w:r>
        <w:t xml:space="preserve"> </w:t>
      </w:r>
      <w:proofErr w:type="spellStart"/>
      <w:r>
        <w:t>rezultat</w:t>
      </w:r>
      <w:proofErr w:type="spellEnd"/>
      <w:r>
        <w:t xml:space="preserve"> je </w:t>
      </w:r>
      <w:proofErr w:type="spellStart"/>
      <w:r>
        <w:t>potrebe</w:t>
      </w:r>
      <w:proofErr w:type="spellEnd"/>
      <w:r>
        <w:t xml:space="preserve"> za </w:t>
      </w:r>
      <w:proofErr w:type="spellStart"/>
      <w:r>
        <w:t>izvođenjem</w:t>
      </w:r>
      <w:proofErr w:type="spellEnd"/>
      <w:r>
        <w:t xml:space="preserve"> </w:t>
      </w:r>
      <w:proofErr w:type="spellStart"/>
      <w:r>
        <w:t>manjih</w:t>
      </w:r>
      <w:proofErr w:type="spellEnd"/>
      <w:r>
        <w:t xml:space="preserve"> </w:t>
      </w:r>
      <w:proofErr w:type="spellStart"/>
      <w:r>
        <w:t>nužnih</w:t>
      </w:r>
      <w:proofErr w:type="spellEnd"/>
      <w:r>
        <w:t xml:space="preserve"> </w:t>
      </w:r>
      <w:proofErr w:type="spellStart"/>
      <w:r>
        <w:t>sanacijskih</w:t>
      </w:r>
      <w:proofErr w:type="spellEnd"/>
      <w:r>
        <w:t xml:space="preserve"> </w:t>
      </w:r>
      <w:proofErr w:type="spellStart"/>
      <w:r>
        <w:t>zahvata</w:t>
      </w:r>
      <w:proofErr w:type="spellEnd"/>
      <w:r>
        <w:t xml:space="preserve"> </w:t>
      </w:r>
      <w:proofErr w:type="spellStart"/>
      <w:r>
        <w:t>unutar</w:t>
      </w:r>
      <w:proofErr w:type="spellEnd"/>
      <w:r>
        <w:t xml:space="preserve"> </w:t>
      </w:r>
      <w:proofErr w:type="spellStart"/>
      <w:r>
        <w:t>zgrade</w:t>
      </w:r>
      <w:proofErr w:type="spellEnd"/>
      <w:r>
        <w:t>.</w:t>
      </w:r>
    </w:p>
    <w:p w14:paraId="690206C8" w14:textId="77777777" w:rsidR="0092186F" w:rsidRDefault="0092186F"/>
    <w:p w14:paraId="0DCB20F1" w14:textId="77777777" w:rsidR="0092186F" w:rsidRDefault="00CD503B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2186F" w14:paraId="2CC4C46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BB81CF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6FCE3E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481DE1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AF1627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F1D911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21479B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2186F" w14:paraId="43170FF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AF54A6" w14:textId="77777777" w:rsidR="0092186F" w:rsidRDefault="00CD50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84F24BE" w14:textId="77777777" w:rsidR="0092186F" w:rsidRDefault="00CD503B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Ostali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nespomenuti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rashodi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poslovanja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416EF5" w14:textId="77777777" w:rsidR="0092186F" w:rsidRDefault="00CD50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4A6FFE" w14:textId="77777777" w:rsidR="0092186F" w:rsidRDefault="00CD50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18.107,17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B72596" w14:textId="77777777" w:rsidR="0092186F" w:rsidRDefault="00CD50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49.879,91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29BBD2" w14:textId="77777777" w:rsidR="0092186F" w:rsidRDefault="00CD50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275,5</w:t>
            </w:r>
          </w:p>
        </w:tc>
      </w:tr>
    </w:tbl>
    <w:p w14:paraId="66CCB57F" w14:textId="77777777" w:rsidR="0092186F" w:rsidRDefault="0092186F">
      <w:pPr>
        <w:spacing w:after="0"/>
      </w:pPr>
    </w:p>
    <w:p w14:paraId="565BB482" w14:textId="77777777" w:rsidR="0092186F" w:rsidRDefault="00CD503B">
      <w:proofErr w:type="spellStart"/>
      <w:r>
        <w:t>Rast</w:t>
      </w:r>
      <w:proofErr w:type="spellEnd"/>
      <w:r>
        <w:t xml:space="preserve"> </w:t>
      </w:r>
      <w:proofErr w:type="spellStart"/>
      <w:r>
        <w:t>ostalih</w:t>
      </w:r>
      <w:proofErr w:type="spellEnd"/>
      <w:r>
        <w:t xml:space="preserve"> </w:t>
      </w:r>
      <w:proofErr w:type="spellStart"/>
      <w:r>
        <w:t>nespomenutih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</w:t>
      </w:r>
      <w:proofErr w:type="spellStart"/>
      <w:r>
        <w:t>prvenstveno</w:t>
      </w:r>
      <w:proofErr w:type="spellEnd"/>
      <w:r>
        <w:t xml:space="preserve"> je </w:t>
      </w:r>
      <w:proofErr w:type="spellStart"/>
      <w:r>
        <w:t>rezultat</w:t>
      </w:r>
      <w:proofErr w:type="spellEnd"/>
      <w:r>
        <w:t xml:space="preserve"> </w:t>
      </w:r>
      <w:proofErr w:type="spellStart"/>
      <w:r>
        <w:t>provedbe</w:t>
      </w:r>
      <w:proofErr w:type="spellEnd"/>
      <w:r>
        <w:t xml:space="preserve"> </w:t>
      </w:r>
      <w:proofErr w:type="spellStart"/>
      <w:r>
        <w:t>mobilnosti</w:t>
      </w:r>
      <w:proofErr w:type="spellEnd"/>
      <w:r>
        <w:t xml:space="preserve"> u </w:t>
      </w:r>
      <w:proofErr w:type="spellStart"/>
      <w:r>
        <w:t>sklopu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Erasmus+, </w:t>
      </w:r>
      <w:proofErr w:type="spellStart"/>
      <w:r>
        <w:t>na</w:t>
      </w:r>
      <w:proofErr w:type="spellEnd"/>
      <w:r>
        <w:t xml:space="preserve"> koji se </w:t>
      </w:r>
      <w:proofErr w:type="spellStart"/>
      <w:r>
        <w:t>odnosi</w:t>
      </w:r>
      <w:proofErr w:type="spellEnd"/>
      <w:r>
        <w:t xml:space="preserve"> </w:t>
      </w:r>
      <w:proofErr w:type="spellStart"/>
      <w:r>
        <w:t>većina</w:t>
      </w:r>
      <w:proofErr w:type="spellEnd"/>
      <w:r>
        <w:t xml:space="preserve"> </w:t>
      </w:r>
      <w:proofErr w:type="spellStart"/>
      <w:r>
        <w:t>troškova</w:t>
      </w:r>
      <w:proofErr w:type="spellEnd"/>
      <w:r>
        <w:t xml:space="preserve"> </w:t>
      </w:r>
      <w:proofErr w:type="spellStart"/>
      <w:r>
        <w:t>unutar</w:t>
      </w:r>
      <w:proofErr w:type="spellEnd"/>
      <w:r>
        <w:t xml:space="preserve"> </w:t>
      </w:r>
      <w:proofErr w:type="spellStart"/>
      <w:r>
        <w:t>ove</w:t>
      </w:r>
      <w:proofErr w:type="spellEnd"/>
      <w:r>
        <w:t xml:space="preserve"> </w:t>
      </w:r>
      <w:proofErr w:type="spellStart"/>
      <w:r>
        <w:t>kategorije</w:t>
      </w:r>
      <w:proofErr w:type="spellEnd"/>
      <w:r>
        <w:t>.</w:t>
      </w:r>
    </w:p>
    <w:p w14:paraId="1728C43C" w14:textId="77777777" w:rsidR="0092186F" w:rsidRDefault="0092186F"/>
    <w:p w14:paraId="11FCDF95" w14:textId="77777777" w:rsidR="0092186F" w:rsidRDefault="00CD503B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2186F" w14:paraId="6ECDFFB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1A09EF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FBCF25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469690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0AB6CD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</w:t>
            </w:r>
            <w:r>
              <w:rPr>
                <w:b/>
                <w:sz w:val="18"/>
              </w:rPr>
              <w:t>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13C1EB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03407E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2186F" w14:paraId="6460855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D8A097" w14:textId="77777777" w:rsidR="0092186F" w:rsidRDefault="00CD50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95C434" w14:textId="77777777" w:rsidR="0092186F" w:rsidRDefault="00CD503B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Ostale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naknade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građanima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kućanstvima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proračuna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3721 do 3723)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94E8C3" w14:textId="77777777" w:rsidR="0092186F" w:rsidRDefault="00CD50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B273EE" w14:textId="77777777" w:rsidR="0092186F" w:rsidRDefault="00CD50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2.045,28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164B4D" w14:textId="77777777" w:rsidR="0092186F" w:rsidRDefault="00CD50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5.968,64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539AA5" w14:textId="77777777" w:rsidR="0092186F" w:rsidRDefault="00CD50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291,8</w:t>
            </w:r>
          </w:p>
        </w:tc>
      </w:tr>
    </w:tbl>
    <w:p w14:paraId="65E7DC1A" w14:textId="77777777" w:rsidR="0092186F" w:rsidRDefault="0092186F">
      <w:pPr>
        <w:spacing w:after="0"/>
      </w:pPr>
    </w:p>
    <w:p w14:paraId="0AF3C391" w14:textId="77777777" w:rsidR="0092186F" w:rsidRDefault="00CD503B">
      <w:proofErr w:type="spellStart"/>
      <w:r>
        <w:t>Ostale</w:t>
      </w:r>
      <w:proofErr w:type="spellEnd"/>
      <w:r>
        <w:t xml:space="preserve"> </w:t>
      </w:r>
      <w:proofErr w:type="spellStart"/>
      <w:r>
        <w:t>naknade</w:t>
      </w:r>
      <w:proofErr w:type="spellEnd"/>
      <w:r>
        <w:t xml:space="preserve"> </w:t>
      </w:r>
      <w:proofErr w:type="spellStart"/>
      <w:r>
        <w:t>građanima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kućanstvima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</w:t>
      </w:r>
      <w:proofErr w:type="spellStart"/>
      <w:r>
        <w:t>odnose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sufinanciranje</w:t>
      </w:r>
      <w:proofErr w:type="spellEnd"/>
      <w:r>
        <w:t xml:space="preserve"> </w:t>
      </w:r>
      <w:proofErr w:type="spellStart"/>
      <w:r>
        <w:t>troškova</w:t>
      </w:r>
      <w:proofErr w:type="spellEnd"/>
      <w:r>
        <w:t xml:space="preserve"> </w:t>
      </w:r>
      <w:proofErr w:type="spellStart"/>
      <w:r>
        <w:t>prijevoza</w:t>
      </w:r>
      <w:proofErr w:type="spellEnd"/>
      <w:r>
        <w:t xml:space="preserve">, </w:t>
      </w:r>
      <w:proofErr w:type="spellStart"/>
      <w:r>
        <w:t>prehrane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nabave</w:t>
      </w:r>
      <w:proofErr w:type="spellEnd"/>
      <w:r>
        <w:t xml:space="preserve"> </w:t>
      </w:r>
      <w:proofErr w:type="spellStart"/>
      <w:r>
        <w:t>posebnih</w:t>
      </w:r>
      <w:proofErr w:type="spellEnd"/>
      <w:r>
        <w:t xml:space="preserve"> </w:t>
      </w:r>
      <w:proofErr w:type="spellStart"/>
      <w:r>
        <w:t>nastavnih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pomagala</w:t>
      </w:r>
      <w:proofErr w:type="spellEnd"/>
      <w:r>
        <w:t xml:space="preserve"> za </w:t>
      </w:r>
      <w:proofErr w:type="spellStart"/>
      <w:r>
        <w:t>djecu</w:t>
      </w:r>
      <w:proofErr w:type="spellEnd"/>
      <w:r>
        <w:t xml:space="preserve"> s </w:t>
      </w:r>
      <w:proofErr w:type="spellStart"/>
      <w:r>
        <w:t>teškoćama</w:t>
      </w:r>
      <w:proofErr w:type="spellEnd"/>
      <w:r>
        <w:t xml:space="preserve"> u </w:t>
      </w:r>
      <w:proofErr w:type="spellStart"/>
      <w:r>
        <w:lastRenderedPageBreak/>
        <w:t>razvoju</w:t>
      </w:r>
      <w:proofErr w:type="spellEnd"/>
      <w:r>
        <w:t xml:space="preserve"> u </w:t>
      </w:r>
      <w:proofErr w:type="spellStart"/>
      <w:r>
        <w:t>osnovnim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srednjim</w:t>
      </w:r>
      <w:proofErr w:type="spellEnd"/>
      <w:r>
        <w:t xml:space="preserve"> </w:t>
      </w:r>
      <w:proofErr w:type="spellStart"/>
      <w:r>
        <w:t>školama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2.033,60 EUR. </w:t>
      </w:r>
      <w:proofErr w:type="spellStart"/>
      <w:r>
        <w:t>Također</w:t>
      </w:r>
      <w:proofErr w:type="spellEnd"/>
      <w:r>
        <w:t xml:space="preserve"> </w:t>
      </w:r>
      <w:proofErr w:type="spellStart"/>
      <w:r>
        <w:t>ob</w:t>
      </w:r>
      <w:r>
        <w:t>uhvaćaju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isplate</w:t>
      </w:r>
      <w:proofErr w:type="spellEnd"/>
      <w:r>
        <w:t xml:space="preserve"> </w:t>
      </w:r>
      <w:proofErr w:type="spellStart"/>
      <w:r>
        <w:t>individualne</w:t>
      </w:r>
      <w:proofErr w:type="spellEnd"/>
      <w:r>
        <w:t xml:space="preserve"> </w:t>
      </w:r>
      <w:proofErr w:type="spellStart"/>
      <w:r>
        <w:t>potpore</w:t>
      </w:r>
      <w:proofErr w:type="spellEnd"/>
      <w:r>
        <w:t xml:space="preserve"> </w:t>
      </w:r>
      <w:proofErr w:type="spellStart"/>
      <w:r>
        <w:t>učenicima</w:t>
      </w:r>
      <w:proofErr w:type="spellEnd"/>
      <w:r>
        <w:t xml:space="preserve"> u </w:t>
      </w:r>
      <w:proofErr w:type="spellStart"/>
      <w:r>
        <w:t>sklopu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Erasmus+ u </w:t>
      </w:r>
      <w:proofErr w:type="spellStart"/>
      <w:r>
        <w:t>iznosu</w:t>
      </w:r>
      <w:proofErr w:type="spellEnd"/>
      <w:r>
        <w:t xml:space="preserve"> od 3.935,04 EUR.</w:t>
      </w:r>
    </w:p>
    <w:p w14:paraId="44A2374A" w14:textId="77777777" w:rsidR="0092186F" w:rsidRDefault="0092186F"/>
    <w:p w14:paraId="1E2FF2C4" w14:textId="77777777" w:rsidR="0092186F" w:rsidRDefault="00CD503B">
      <w:pPr>
        <w:keepNext/>
        <w:spacing w:line="240" w:lineRule="auto"/>
        <w:jc w:val="center"/>
      </w:pPr>
      <w:proofErr w:type="spellStart"/>
      <w:r>
        <w:rPr>
          <w:b/>
          <w:sz w:val="28"/>
        </w:rPr>
        <w:t>Bilanca</w:t>
      </w:r>
      <w:proofErr w:type="spellEnd"/>
    </w:p>
    <w:p w14:paraId="30811DB9" w14:textId="77777777" w:rsidR="0092186F" w:rsidRDefault="00CD503B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2186F" w14:paraId="257F7CC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5E17D9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C5D147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FA446C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1F9C7B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1. </w:t>
            </w:r>
            <w:proofErr w:type="spellStart"/>
            <w:r>
              <w:rPr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C2EBD5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31. </w:t>
            </w:r>
            <w:proofErr w:type="spellStart"/>
            <w:r>
              <w:rPr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DE195B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2186F" w14:paraId="6528A2F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E25AB3" w14:textId="77777777" w:rsidR="0092186F" w:rsidRDefault="00CD50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4BE434B" w14:textId="77777777" w:rsidR="0092186F" w:rsidRDefault="00CD503B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Ostala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potraživanja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286BEA" w14:textId="77777777" w:rsidR="0092186F" w:rsidRDefault="00CD50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C0B76B" w14:textId="77777777" w:rsidR="0092186F" w:rsidRDefault="00CD50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493B52" w14:textId="77777777" w:rsidR="0092186F" w:rsidRDefault="00CD50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389,52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757C25" w14:textId="77777777" w:rsidR="0092186F" w:rsidRDefault="00CD50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379,2</w:t>
            </w:r>
          </w:p>
        </w:tc>
      </w:tr>
    </w:tbl>
    <w:p w14:paraId="6300733C" w14:textId="77777777" w:rsidR="0092186F" w:rsidRDefault="0092186F">
      <w:pPr>
        <w:spacing w:after="0"/>
      </w:pPr>
    </w:p>
    <w:p w14:paraId="2351A3A8" w14:textId="77777777" w:rsidR="0092186F" w:rsidRDefault="00CD503B">
      <w:proofErr w:type="spellStart"/>
      <w:r>
        <w:t>Povećanje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rasta</w:t>
      </w:r>
      <w:proofErr w:type="spellEnd"/>
      <w:r>
        <w:t xml:space="preserve"> </w:t>
      </w:r>
      <w:proofErr w:type="spellStart"/>
      <w:r>
        <w:t>potraživanja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za </w:t>
      </w:r>
      <w:proofErr w:type="spellStart"/>
      <w:r>
        <w:t>bolovanje</w:t>
      </w:r>
      <w:proofErr w:type="spellEnd"/>
      <w:r>
        <w:t xml:space="preserve"> </w:t>
      </w:r>
      <w:proofErr w:type="spellStart"/>
      <w:r>
        <w:t>preko</w:t>
      </w:r>
      <w:proofErr w:type="spellEnd"/>
      <w:r>
        <w:t xml:space="preserve"> 42 dana od </w:t>
      </w:r>
      <w:proofErr w:type="spellStart"/>
      <w:r>
        <w:t>Hrvatskog</w:t>
      </w:r>
      <w:proofErr w:type="spellEnd"/>
      <w:r>
        <w:t xml:space="preserve"> </w:t>
      </w:r>
      <w:proofErr w:type="spellStart"/>
      <w:r>
        <w:t>zavoda</w:t>
      </w:r>
      <w:proofErr w:type="spellEnd"/>
      <w:r>
        <w:t xml:space="preserve"> za </w:t>
      </w:r>
      <w:proofErr w:type="spellStart"/>
      <w:r>
        <w:t>zdravstveno</w:t>
      </w:r>
      <w:proofErr w:type="spellEnd"/>
      <w:r>
        <w:t xml:space="preserve"> </w:t>
      </w:r>
      <w:proofErr w:type="spellStart"/>
      <w:r>
        <w:t>osiguranje</w:t>
      </w:r>
      <w:proofErr w:type="spellEnd"/>
      <w:r>
        <w:t xml:space="preserve">. </w:t>
      </w:r>
      <w:proofErr w:type="spellStart"/>
      <w:r>
        <w:t>Navedena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</w:t>
      </w:r>
      <w:proofErr w:type="spellStart"/>
      <w:r>
        <w:t>isplaćena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djelatnicima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</w:t>
      </w:r>
      <w:proofErr w:type="spellStart"/>
      <w:r>
        <w:t>Državnog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ona</w:t>
      </w:r>
      <w:proofErr w:type="spellEnd"/>
      <w:r>
        <w:t xml:space="preserve"> se </w:t>
      </w:r>
      <w:proofErr w:type="spellStart"/>
      <w:r>
        <w:t>zatvaraju</w:t>
      </w:r>
      <w:proofErr w:type="spellEnd"/>
      <w:r>
        <w:t xml:space="preserve"> </w:t>
      </w:r>
      <w:proofErr w:type="spellStart"/>
      <w:r>
        <w:t>kada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</w:t>
      </w:r>
      <w:proofErr w:type="spellStart"/>
      <w:r>
        <w:t>primi</w:t>
      </w:r>
      <w:proofErr w:type="spellEnd"/>
      <w:r>
        <w:t xml:space="preserve"> </w:t>
      </w:r>
      <w:proofErr w:type="spellStart"/>
      <w:r>
        <w:t>Upute</w:t>
      </w:r>
      <w:proofErr w:type="spellEnd"/>
      <w:r>
        <w:t xml:space="preserve"> o </w:t>
      </w:r>
      <w:proofErr w:type="spellStart"/>
      <w:r>
        <w:t>zatvaranju</w:t>
      </w:r>
      <w:proofErr w:type="spellEnd"/>
      <w:r>
        <w:t xml:space="preserve"> </w:t>
      </w:r>
      <w:proofErr w:type="spellStart"/>
      <w:r>
        <w:t>potraži</w:t>
      </w:r>
      <w:r>
        <w:t>vanja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HZZO – a.</w:t>
      </w:r>
    </w:p>
    <w:p w14:paraId="0E003C3A" w14:textId="77777777" w:rsidR="0092186F" w:rsidRDefault="0092186F"/>
    <w:p w14:paraId="3A132888" w14:textId="77777777" w:rsidR="0092186F" w:rsidRDefault="00CD503B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2186F" w14:paraId="5F3D665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06AA5F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C2C47E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F908A4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CD4096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1. </w:t>
            </w:r>
            <w:proofErr w:type="spellStart"/>
            <w:r>
              <w:rPr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339F80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31. </w:t>
            </w:r>
            <w:proofErr w:type="spellStart"/>
            <w:r>
              <w:rPr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7A9F48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2186F" w14:paraId="40D9962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8B42F9" w14:textId="77777777" w:rsidR="0092186F" w:rsidRDefault="00CD50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6953142" w14:textId="77777777" w:rsidR="0092186F" w:rsidRDefault="00CD503B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Potraživanja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pomoći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proračunskim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korisnicima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proračuna</w:t>
            </w:r>
            <w:proofErr w:type="spellEnd"/>
            <w:r>
              <w:rPr>
                <w:sz w:val="18"/>
              </w:rPr>
              <w:t xml:space="preserve"> koji </w:t>
            </w:r>
            <w:proofErr w:type="spellStart"/>
            <w:r>
              <w:rPr>
                <w:sz w:val="18"/>
              </w:rPr>
              <w:t>im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nije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nadležan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8F92E9" w14:textId="77777777" w:rsidR="0092186F" w:rsidRDefault="00CD50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03B7A2" w14:textId="77777777" w:rsidR="0092186F" w:rsidRDefault="00CD50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A8842B" w14:textId="77777777" w:rsidR="0092186F" w:rsidRDefault="00CD50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182.803,66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E30F95" w14:textId="77777777" w:rsidR="0092186F" w:rsidRDefault="00CD50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6632E63" w14:textId="77777777" w:rsidR="0092186F" w:rsidRDefault="0092186F">
      <w:pPr>
        <w:spacing w:after="0"/>
      </w:pPr>
    </w:p>
    <w:p w14:paraId="55F77756" w14:textId="77777777" w:rsidR="0092186F" w:rsidRDefault="00CD503B">
      <w:r>
        <w:t xml:space="preserve">Do </w:t>
      </w:r>
      <w:proofErr w:type="spellStart"/>
      <w:r>
        <w:t>početka</w:t>
      </w:r>
      <w:proofErr w:type="spellEnd"/>
      <w:r>
        <w:t xml:space="preserve"> </w:t>
      </w:r>
      <w:proofErr w:type="spellStart"/>
      <w:r>
        <w:t>primjene</w:t>
      </w:r>
      <w:proofErr w:type="spellEnd"/>
      <w:r>
        <w:t xml:space="preserve"> </w:t>
      </w:r>
      <w:proofErr w:type="spellStart"/>
      <w:r>
        <w:t>novog</w:t>
      </w:r>
      <w:proofErr w:type="spellEnd"/>
      <w:r>
        <w:t xml:space="preserve"> </w:t>
      </w:r>
      <w:proofErr w:type="spellStart"/>
      <w:r>
        <w:t>Pravilnika</w:t>
      </w:r>
      <w:proofErr w:type="spellEnd"/>
      <w:r>
        <w:t xml:space="preserve"> o </w:t>
      </w:r>
      <w:proofErr w:type="spellStart"/>
      <w:r>
        <w:t>proračunskom</w:t>
      </w:r>
      <w:proofErr w:type="spellEnd"/>
      <w:r>
        <w:t xml:space="preserve"> </w:t>
      </w:r>
      <w:proofErr w:type="spellStart"/>
      <w:r>
        <w:t>računovodstvu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do 1. </w:t>
      </w:r>
      <w:proofErr w:type="spellStart"/>
      <w:r>
        <w:t>siječnja</w:t>
      </w:r>
      <w:proofErr w:type="spellEnd"/>
      <w:r>
        <w:t xml:space="preserve"> 2025. </w:t>
      </w:r>
      <w:proofErr w:type="spellStart"/>
      <w:r>
        <w:t>godine</w:t>
      </w:r>
      <w:proofErr w:type="spellEnd"/>
      <w:r>
        <w:t xml:space="preserve">, </w:t>
      </w:r>
      <w:proofErr w:type="spellStart"/>
      <w:r>
        <w:t>prihodi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koji </w:t>
      </w:r>
      <w:proofErr w:type="spellStart"/>
      <w:r>
        <w:t>nisu</w:t>
      </w:r>
      <w:proofErr w:type="spellEnd"/>
      <w:r>
        <w:t xml:space="preserve"> </w:t>
      </w:r>
      <w:proofErr w:type="spellStart"/>
      <w:r>
        <w:t>nadležni</w:t>
      </w:r>
      <w:proofErr w:type="spellEnd"/>
      <w:r>
        <w:t xml:space="preserve"> </w:t>
      </w:r>
      <w:proofErr w:type="spellStart"/>
      <w:r>
        <w:t>školskim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predškolskim</w:t>
      </w:r>
      <w:proofErr w:type="spellEnd"/>
      <w:r>
        <w:t xml:space="preserve"> </w:t>
      </w:r>
      <w:proofErr w:type="spellStart"/>
      <w:r>
        <w:t>ustanovama</w:t>
      </w:r>
      <w:proofErr w:type="spellEnd"/>
      <w:r>
        <w:t xml:space="preserve"> </w:t>
      </w:r>
      <w:proofErr w:type="spellStart"/>
      <w:r>
        <w:t>priznavali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se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novčanom</w:t>
      </w:r>
      <w:proofErr w:type="spellEnd"/>
      <w:r>
        <w:t xml:space="preserve"> </w:t>
      </w:r>
      <w:proofErr w:type="spellStart"/>
      <w:r>
        <w:t>računovodstvenom</w:t>
      </w:r>
      <w:proofErr w:type="spellEnd"/>
      <w:r>
        <w:t xml:space="preserve"> </w:t>
      </w:r>
      <w:proofErr w:type="spellStart"/>
      <w:r>
        <w:t>načelu</w:t>
      </w:r>
      <w:proofErr w:type="spellEnd"/>
      <w:r>
        <w:t>.</w:t>
      </w:r>
    </w:p>
    <w:p w14:paraId="11AA0353" w14:textId="77777777" w:rsidR="0092186F" w:rsidRDefault="00CD503B">
      <w:proofErr w:type="spellStart"/>
      <w:r>
        <w:t>Sukladno</w:t>
      </w:r>
      <w:proofErr w:type="spellEnd"/>
      <w:r>
        <w:t xml:space="preserve"> </w:t>
      </w:r>
      <w:proofErr w:type="spellStart"/>
      <w:r>
        <w:t>članku</w:t>
      </w:r>
      <w:proofErr w:type="spellEnd"/>
      <w:r>
        <w:t xml:space="preserve"> 160.</w:t>
      </w:r>
      <w:r>
        <w:t xml:space="preserve"> </w:t>
      </w:r>
      <w:proofErr w:type="spellStart"/>
      <w:r>
        <w:t>novog</w:t>
      </w:r>
      <w:proofErr w:type="spellEnd"/>
      <w:r>
        <w:t xml:space="preserve"> </w:t>
      </w:r>
      <w:proofErr w:type="spellStart"/>
      <w:r>
        <w:t>Pravilnika</w:t>
      </w:r>
      <w:proofErr w:type="spellEnd"/>
      <w:r>
        <w:t xml:space="preserve">, </w:t>
      </w:r>
      <w:proofErr w:type="spellStart"/>
      <w:r>
        <w:t>školske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predškolske</w:t>
      </w:r>
      <w:proofErr w:type="spellEnd"/>
      <w:r>
        <w:t xml:space="preserve"> </w:t>
      </w:r>
      <w:proofErr w:type="spellStart"/>
      <w:r>
        <w:t>ustanove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, </w:t>
      </w:r>
      <w:proofErr w:type="spellStart"/>
      <w:r>
        <w:t>temeljem</w:t>
      </w:r>
      <w:proofErr w:type="spellEnd"/>
      <w:r>
        <w:t xml:space="preserve"> </w:t>
      </w:r>
      <w:proofErr w:type="spellStart"/>
      <w:r>
        <w:t>zaprimljenog</w:t>
      </w:r>
      <w:proofErr w:type="spellEnd"/>
      <w:r>
        <w:t xml:space="preserve"> </w:t>
      </w:r>
      <w:proofErr w:type="spellStart"/>
      <w:r>
        <w:t>rješenja</w:t>
      </w:r>
      <w:proofErr w:type="spellEnd"/>
      <w:r>
        <w:t xml:space="preserve"> </w:t>
      </w:r>
      <w:proofErr w:type="spellStart"/>
      <w:r>
        <w:t>drugog</w:t>
      </w:r>
      <w:proofErr w:type="spellEnd"/>
      <w:r>
        <w:t xml:space="preserve"> </w:t>
      </w:r>
      <w:proofErr w:type="spellStart"/>
      <w:r>
        <w:t>subjekta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općeg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, </w:t>
      </w:r>
      <w:proofErr w:type="spellStart"/>
      <w:r>
        <w:t>ali</w:t>
      </w:r>
      <w:proofErr w:type="spellEnd"/>
      <w:r>
        <w:t xml:space="preserve"> ne </w:t>
      </w:r>
      <w:proofErr w:type="spellStart"/>
      <w:r>
        <w:t>istog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, </w:t>
      </w:r>
      <w:proofErr w:type="spellStart"/>
      <w:r>
        <w:t>ostvaruju</w:t>
      </w:r>
      <w:proofErr w:type="spellEnd"/>
      <w:r>
        <w:t xml:space="preserve"> </w:t>
      </w:r>
      <w:proofErr w:type="spellStart"/>
      <w:r>
        <w:t>pomoć</w:t>
      </w:r>
      <w:proofErr w:type="spellEnd"/>
      <w:r>
        <w:t xml:space="preserve">, </w:t>
      </w:r>
      <w:proofErr w:type="spellStart"/>
      <w:r>
        <w:t>obvezne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evidentirati</w:t>
      </w:r>
      <w:proofErr w:type="spellEnd"/>
      <w:r>
        <w:t xml:space="preserve"> </w:t>
      </w:r>
      <w:proofErr w:type="spellStart"/>
      <w:r>
        <w:t>navedene</w:t>
      </w:r>
      <w:proofErr w:type="spellEnd"/>
      <w:r>
        <w:t xml:space="preserve"> </w:t>
      </w:r>
      <w:proofErr w:type="spellStart"/>
      <w:r>
        <w:t>transakcije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kontima</w:t>
      </w:r>
      <w:proofErr w:type="spellEnd"/>
      <w:r>
        <w:t xml:space="preserve"> 163 – </w:t>
      </w:r>
      <w:proofErr w:type="spellStart"/>
      <w:r>
        <w:t>Potraživanja</w:t>
      </w:r>
      <w:proofErr w:type="spellEnd"/>
      <w:r>
        <w:t xml:space="preserve"> za </w:t>
      </w:r>
      <w:proofErr w:type="spellStart"/>
      <w:r>
        <w:t>pomoći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subj</w:t>
      </w:r>
      <w:r>
        <w:t>ekata</w:t>
      </w:r>
      <w:proofErr w:type="spellEnd"/>
      <w:r>
        <w:t xml:space="preserve"> </w:t>
      </w:r>
      <w:proofErr w:type="spellStart"/>
      <w:r>
        <w:t>unutar</w:t>
      </w:r>
      <w:proofErr w:type="spellEnd"/>
      <w:r>
        <w:t xml:space="preserve"> </w:t>
      </w:r>
      <w:proofErr w:type="spellStart"/>
      <w:r>
        <w:t>općeg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963 – </w:t>
      </w:r>
      <w:proofErr w:type="spellStart"/>
      <w:r>
        <w:t>Obračunate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subjekata</w:t>
      </w:r>
      <w:proofErr w:type="spellEnd"/>
      <w:r>
        <w:t xml:space="preserve"> </w:t>
      </w:r>
      <w:proofErr w:type="spellStart"/>
      <w:r>
        <w:t>unutar</w:t>
      </w:r>
      <w:proofErr w:type="spellEnd"/>
      <w:r>
        <w:t xml:space="preserve"> </w:t>
      </w:r>
      <w:proofErr w:type="spellStart"/>
      <w:r>
        <w:t>općeg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>.</w:t>
      </w:r>
    </w:p>
    <w:p w14:paraId="424E3BE7" w14:textId="77777777" w:rsidR="0092186F" w:rsidRDefault="00CD503B">
      <w:proofErr w:type="spellStart"/>
      <w:r>
        <w:t>Navedeni</w:t>
      </w:r>
      <w:proofErr w:type="spellEnd"/>
      <w:r>
        <w:t xml:space="preserve"> </w:t>
      </w:r>
      <w:proofErr w:type="spellStart"/>
      <w:r>
        <w:t>postupak</w:t>
      </w:r>
      <w:proofErr w:type="spellEnd"/>
      <w:r>
        <w:t xml:space="preserve"> </w:t>
      </w:r>
      <w:proofErr w:type="spellStart"/>
      <w:r>
        <w:t>odnosi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vrste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, </w:t>
      </w:r>
      <w:proofErr w:type="spellStart"/>
      <w:r>
        <w:t>osim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od </w:t>
      </w:r>
      <w:proofErr w:type="spellStart"/>
      <w:r>
        <w:t>osnivača</w:t>
      </w:r>
      <w:proofErr w:type="spellEnd"/>
      <w:r>
        <w:t xml:space="preserve"> koji se </w:t>
      </w:r>
      <w:proofErr w:type="spellStart"/>
      <w:r>
        <w:t>evidentiraju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kontima</w:t>
      </w:r>
      <w:proofErr w:type="spellEnd"/>
      <w:r>
        <w:t xml:space="preserve"> 671 </w:t>
      </w:r>
      <w:proofErr w:type="spellStart"/>
      <w:r>
        <w:t>i</w:t>
      </w:r>
      <w:proofErr w:type="spellEnd"/>
      <w:r>
        <w:t xml:space="preserve"> 639, </w:t>
      </w:r>
      <w:proofErr w:type="spellStart"/>
      <w:r>
        <w:t>te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od </w:t>
      </w:r>
      <w:proofErr w:type="spellStart"/>
      <w:r>
        <w:t>donacija</w:t>
      </w:r>
      <w:proofErr w:type="spellEnd"/>
      <w:r>
        <w:t xml:space="preserve"> koji se </w:t>
      </w:r>
      <w:proofErr w:type="spellStart"/>
      <w:r>
        <w:t>evidentiraju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kontu</w:t>
      </w:r>
      <w:proofErr w:type="spellEnd"/>
      <w:r>
        <w:t xml:space="preserve"> 663.</w:t>
      </w:r>
    </w:p>
    <w:p w14:paraId="4E5CE1F6" w14:textId="77777777" w:rsidR="0092186F" w:rsidRDefault="0092186F"/>
    <w:p w14:paraId="5C557A6D" w14:textId="77777777" w:rsidR="0092186F" w:rsidRDefault="00CD503B">
      <w:pPr>
        <w:keepNext/>
        <w:spacing w:line="240" w:lineRule="auto"/>
        <w:jc w:val="center"/>
      </w:pPr>
      <w:proofErr w:type="spellStart"/>
      <w:r>
        <w:rPr>
          <w:sz w:val="28"/>
        </w:rPr>
        <w:lastRenderedPageBreak/>
        <w:t>Bilješka</w:t>
      </w:r>
      <w:proofErr w:type="spellEnd"/>
      <w:r>
        <w:rPr>
          <w:sz w:val="28"/>
        </w:rPr>
        <w:t xml:space="preserve">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2186F" w14:paraId="3964215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467C31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174069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0EE977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1F5499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1. </w:t>
            </w:r>
            <w:proofErr w:type="spellStart"/>
            <w:r>
              <w:rPr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FD274F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31. </w:t>
            </w:r>
            <w:proofErr w:type="spellStart"/>
            <w:r>
              <w:rPr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D9BE3E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2186F" w14:paraId="4AA7B52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6112FA" w14:textId="77777777" w:rsidR="0092186F" w:rsidRDefault="00CD50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421D604" w14:textId="77777777" w:rsidR="0092186F" w:rsidRDefault="00CD503B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Potraživanja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proračunskih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korisnika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sredstva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uplaćena</w:t>
            </w:r>
            <w:proofErr w:type="spellEnd"/>
            <w:r>
              <w:rPr>
                <w:sz w:val="18"/>
              </w:rPr>
              <w:t xml:space="preserve"> u </w:t>
            </w:r>
            <w:proofErr w:type="spellStart"/>
            <w:r>
              <w:rPr>
                <w:sz w:val="18"/>
              </w:rPr>
              <w:t>nadležni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proračun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prihode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od</w:t>
            </w:r>
            <w:proofErr w:type="spellEnd"/>
            <w:r>
              <w:rPr>
                <w:sz w:val="18"/>
              </w:rPr>
              <w:t xml:space="preserve"> HZZO-a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temelju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ugovornih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obveza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1C1F15" w14:textId="77777777" w:rsidR="0092186F" w:rsidRDefault="00CD50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E15B58" w14:textId="77777777" w:rsidR="0092186F" w:rsidRDefault="00CD50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54.932,64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7A1C68" w14:textId="77777777" w:rsidR="0092186F" w:rsidRDefault="00CD50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122.880,05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A088AB" w14:textId="77777777" w:rsidR="0092186F" w:rsidRDefault="00CD50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223,7</w:t>
            </w:r>
          </w:p>
        </w:tc>
      </w:tr>
    </w:tbl>
    <w:p w14:paraId="1EDD7961" w14:textId="77777777" w:rsidR="0092186F" w:rsidRDefault="0092186F">
      <w:pPr>
        <w:spacing w:after="0"/>
      </w:pPr>
    </w:p>
    <w:p w14:paraId="31863A68" w14:textId="77777777" w:rsidR="0092186F" w:rsidRDefault="00CD503B">
      <w:proofErr w:type="spellStart"/>
      <w:r>
        <w:t>Povećanje</w:t>
      </w:r>
      <w:proofErr w:type="spellEnd"/>
      <w:r>
        <w:t xml:space="preserve"> </w:t>
      </w:r>
      <w:proofErr w:type="spellStart"/>
      <w:r>
        <w:t>potraživanja</w:t>
      </w:r>
      <w:proofErr w:type="spellEnd"/>
      <w:r>
        <w:t xml:space="preserve"> </w:t>
      </w:r>
      <w:proofErr w:type="spellStart"/>
      <w:r>
        <w:t>proračunskih</w:t>
      </w:r>
      <w:proofErr w:type="spellEnd"/>
      <w:r>
        <w:t xml:space="preserve"> </w:t>
      </w:r>
      <w:proofErr w:type="spellStart"/>
      <w:r>
        <w:t>korisnika</w:t>
      </w:r>
      <w:proofErr w:type="spellEnd"/>
      <w:r>
        <w:t xml:space="preserve"> za </w:t>
      </w:r>
      <w:proofErr w:type="spellStart"/>
      <w:r>
        <w:t>sredstva</w:t>
      </w:r>
      <w:proofErr w:type="spellEnd"/>
      <w:r>
        <w:t xml:space="preserve"> </w:t>
      </w:r>
      <w:proofErr w:type="spellStart"/>
      <w:r>
        <w:t>uplaćena</w:t>
      </w:r>
      <w:proofErr w:type="spellEnd"/>
      <w:r>
        <w:t xml:space="preserve"> u </w:t>
      </w:r>
      <w:proofErr w:type="spellStart"/>
      <w:r>
        <w:t>nadležni</w:t>
      </w:r>
      <w:proofErr w:type="spellEnd"/>
      <w:r>
        <w:t xml:space="preserve"> </w:t>
      </w:r>
      <w:proofErr w:type="spellStart"/>
      <w:r>
        <w:t>proračun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za </w:t>
      </w:r>
      <w:proofErr w:type="spellStart"/>
      <w:r>
        <w:t>prihode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HZZO-a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temelju</w:t>
      </w:r>
      <w:proofErr w:type="spellEnd"/>
      <w:r>
        <w:t xml:space="preserve"> </w:t>
      </w:r>
      <w:proofErr w:type="spellStart"/>
      <w:r>
        <w:t>ugovornih</w:t>
      </w:r>
      <w:proofErr w:type="spellEnd"/>
      <w:r>
        <w:t xml:space="preserve"> </w:t>
      </w:r>
      <w:proofErr w:type="spellStart"/>
      <w:r>
        <w:t>obveza</w:t>
      </w:r>
      <w:proofErr w:type="spellEnd"/>
      <w:r>
        <w:t xml:space="preserve"> </w:t>
      </w:r>
      <w:proofErr w:type="spellStart"/>
      <w:r>
        <w:t>rezultat</w:t>
      </w:r>
      <w:proofErr w:type="spellEnd"/>
      <w:r>
        <w:t xml:space="preserve"> je </w:t>
      </w:r>
      <w:proofErr w:type="spellStart"/>
      <w:r>
        <w:t>prijenosa</w:t>
      </w:r>
      <w:proofErr w:type="spellEnd"/>
      <w:r>
        <w:t xml:space="preserve"> </w:t>
      </w:r>
      <w:proofErr w:type="spellStart"/>
      <w:r>
        <w:t>neutrošenih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prethodnih</w:t>
      </w:r>
      <w:proofErr w:type="spellEnd"/>
      <w:r>
        <w:t xml:space="preserve"> </w:t>
      </w:r>
      <w:proofErr w:type="spellStart"/>
      <w:r>
        <w:t>godina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neutrošenih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</w:t>
      </w:r>
      <w:proofErr w:type="spellStart"/>
      <w:r>
        <w:t>ostvarenih</w:t>
      </w:r>
      <w:proofErr w:type="spellEnd"/>
      <w:r>
        <w:t xml:space="preserve"> u </w:t>
      </w:r>
      <w:proofErr w:type="spellStart"/>
      <w:r>
        <w:t>okviru</w:t>
      </w:r>
      <w:proofErr w:type="spellEnd"/>
      <w:r>
        <w:t xml:space="preserve"> </w:t>
      </w:r>
      <w:proofErr w:type="spellStart"/>
      <w:r>
        <w:t>pro</w:t>
      </w:r>
      <w:r>
        <w:t>jekata</w:t>
      </w:r>
      <w:proofErr w:type="spellEnd"/>
      <w:r>
        <w:t xml:space="preserve"> Erasmus+.</w:t>
      </w:r>
    </w:p>
    <w:p w14:paraId="057B7C28" w14:textId="77777777" w:rsidR="0092186F" w:rsidRDefault="0092186F"/>
    <w:p w14:paraId="6D56ABDF" w14:textId="77777777" w:rsidR="0092186F" w:rsidRDefault="00CD503B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2186F" w14:paraId="74DEEA2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0C83B2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251CE7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D2B092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CCA508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1. </w:t>
            </w:r>
            <w:proofErr w:type="spellStart"/>
            <w:r>
              <w:rPr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E41580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31. </w:t>
            </w:r>
            <w:proofErr w:type="spellStart"/>
            <w:r>
              <w:rPr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199110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2186F" w14:paraId="40EF331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CAC413" w14:textId="77777777" w:rsidR="0092186F" w:rsidRDefault="00CD50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BD0CCF7" w14:textId="77777777" w:rsidR="0092186F" w:rsidRDefault="00CD503B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Kontinuirani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rashodi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budućih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razdoblja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54052F" w14:textId="77777777" w:rsidR="0092186F" w:rsidRDefault="00CD50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57B3AA" w14:textId="77777777" w:rsidR="0092186F" w:rsidRDefault="00CD50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171.370,92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946790" w14:textId="77777777" w:rsidR="0092186F" w:rsidRDefault="00CD50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55BAE2" w14:textId="77777777" w:rsidR="0092186F" w:rsidRDefault="00CD50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3387BBAB" w14:textId="77777777" w:rsidR="0092186F" w:rsidRDefault="0092186F">
      <w:pPr>
        <w:spacing w:after="0"/>
      </w:pPr>
    </w:p>
    <w:p w14:paraId="79375F71" w14:textId="77777777" w:rsidR="0092186F" w:rsidRDefault="00CD503B">
      <w:r>
        <w:t xml:space="preserve">U </w:t>
      </w:r>
      <w:proofErr w:type="spellStart"/>
      <w:r>
        <w:t>prijelaznim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završnim</w:t>
      </w:r>
      <w:proofErr w:type="spellEnd"/>
      <w:r>
        <w:t xml:space="preserve"> </w:t>
      </w:r>
      <w:proofErr w:type="spellStart"/>
      <w:r>
        <w:t>odredbama</w:t>
      </w:r>
      <w:proofErr w:type="spellEnd"/>
      <w:r>
        <w:t xml:space="preserve"> </w:t>
      </w:r>
      <w:proofErr w:type="spellStart"/>
      <w:r>
        <w:t>Pravilnika</w:t>
      </w:r>
      <w:proofErr w:type="spellEnd"/>
      <w:r>
        <w:t xml:space="preserve"> o </w:t>
      </w:r>
      <w:proofErr w:type="spellStart"/>
      <w:r>
        <w:t>proračunskom</w:t>
      </w:r>
      <w:proofErr w:type="spellEnd"/>
      <w:r>
        <w:t xml:space="preserve"> </w:t>
      </w:r>
      <w:proofErr w:type="spellStart"/>
      <w:r>
        <w:t>računovodstvu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Računskom</w:t>
      </w:r>
      <w:proofErr w:type="spellEnd"/>
      <w:r>
        <w:t xml:space="preserve"> </w:t>
      </w:r>
      <w:proofErr w:type="spellStart"/>
      <w:r>
        <w:t>planu</w:t>
      </w:r>
      <w:proofErr w:type="spellEnd"/>
      <w:r>
        <w:t xml:space="preserve">, </w:t>
      </w:r>
      <w:proofErr w:type="spellStart"/>
      <w:r>
        <w:t>člankom</w:t>
      </w:r>
      <w:proofErr w:type="spellEnd"/>
      <w:r>
        <w:t xml:space="preserve"> 233. </w:t>
      </w:r>
      <w:proofErr w:type="spellStart"/>
      <w:r>
        <w:t>propisano</w:t>
      </w:r>
      <w:proofErr w:type="spellEnd"/>
      <w:r>
        <w:t xml:space="preserve"> je da se s </w:t>
      </w:r>
      <w:proofErr w:type="spellStart"/>
      <w:r>
        <w:t>danom</w:t>
      </w:r>
      <w:proofErr w:type="spellEnd"/>
      <w:r>
        <w:t xml:space="preserve"> 1. </w:t>
      </w:r>
      <w:proofErr w:type="spellStart"/>
      <w:r>
        <w:t>siječnja</w:t>
      </w:r>
      <w:proofErr w:type="spellEnd"/>
      <w:r>
        <w:t xml:space="preserve"> 2025.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ukida</w:t>
      </w:r>
      <w:proofErr w:type="spellEnd"/>
      <w:r>
        <w:t xml:space="preserve"> </w:t>
      </w:r>
      <w:proofErr w:type="spellStart"/>
      <w:r>
        <w:t>podskupina</w:t>
      </w:r>
      <w:proofErr w:type="spellEnd"/>
      <w:r>
        <w:t xml:space="preserve"> </w:t>
      </w:r>
      <w:proofErr w:type="spellStart"/>
      <w:r>
        <w:t>računa</w:t>
      </w:r>
      <w:proofErr w:type="spellEnd"/>
      <w:r>
        <w:t xml:space="preserve"> 193 – </w:t>
      </w:r>
      <w:proofErr w:type="spellStart"/>
      <w:r>
        <w:t>Kontinuirani</w:t>
      </w:r>
      <w:proofErr w:type="spellEnd"/>
      <w:r>
        <w:t xml:space="preserve"> </w:t>
      </w:r>
      <w:proofErr w:type="spellStart"/>
      <w:r>
        <w:t>rashodi</w:t>
      </w:r>
      <w:proofErr w:type="spellEnd"/>
      <w:r>
        <w:t xml:space="preserve"> </w:t>
      </w:r>
      <w:proofErr w:type="spellStart"/>
      <w:r>
        <w:t>budućih</w:t>
      </w:r>
      <w:proofErr w:type="spellEnd"/>
      <w:r>
        <w:t xml:space="preserve"> </w:t>
      </w:r>
      <w:proofErr w:type="spellStart"/>
      <w:r>
        <w:t>razdoblja</w:t>
      </w:r>
      <w:proofErr w:type="spellEnd"/>
      <w:r>
        <w:t>.</w:t>
      </w:r>
    </w:p>
    <w:p w14:paraId="5C556776" w14:textId="77777777" w:rsidR="0092186F" w:rsidRDefault="00CD503B">
      <w:proofErr w:type="spellStart"/>
      <w:r>
        <w:t>Sukladno</w:t>
      </w:r>
      <w:proofErr w:type="spellEnd"/>
      <w:r>
        <w:t xml:space="preserve"> </w:t>
      </w:r>
      <w:proofErr w:type="spellStart"/>
      <w:r>
        <w:t>navedenom</w:t>
      </w:r>
      <w:proofErr w:type="spellEnd"/>
      <w:r>
        <w:t xml:space="preserve">, </w:t>
      </w:r>
      <w:proofErr w:type="spellStart"/>
      <w:r>
        <w:t>kontinu</w:t>
      </w:r>
      <w:r>
        <w:t>irani</w:t>
      </w:r>
      <w:proofErr w:type="spellEnd"/>
      <w:r>
        <w:t xml:space="preserve"> </w:t>
      </w:r>
      <w:proofErr w:type="spellStart"/>
      <w:r>
        <w:t>rashodi</w:t>
      </w:r>
      <w:proofErr w:type="spellEnd"/>
      <w:r>
        <w:t xml:space="preserve"> </w:t>
      </w:r>
      <w:proofErr w:type="spellStart"/>
      <w:r>
        <w:t>budućih</w:t>
      </w:r>
      <w:proofErr w:type="spellEnd"/>
      <w:r>
        <w:t xml:space="preserve"> </w:t>
      </w:r>
      <w:proofErr w:type="spellStart"/>
      <w:r>
        <w:t>razdoblja</w:t>
      </w:r>
      <w:proofErr w:type="spellEnd"/>
      <w:r>
        <w:t xml:space="preserve"> </w:t>
      </w:r>
      <w:proofErr w:type="spellStart"/>
      <w:r>
        <w:t>zatvoreni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odobrenjem</w:t>
      </w:r>
      <w:proofErr w:type="spellEnd"/>
      <w:r>
        <w:t xml:space="preserve"> </w:t>
      </w:r>
      <w:proofErr w:type="spellStart"/>
      <w:r>
        <w:t>odgovarajućih</w:t>
      </w:r>
      <w:proofErr w:type="spellEnd"/>
      <w:r>
        <w:t xml:space="preserve"> </w:t>
      </w:r>
      <w:proofErr w:type="spellStart"/>
      <w:r>
        <w:t>osnovnih</w:t>
      </w:r>
      <w:proofErr w:type="spellEnd"/>
      <w:r>
        <w:t xml:space="preserve"> </w:t>
      </w:r>
      <w:proofErr w:type="spellStart"/>
      <w:r>
        <w:t>računa</w:t>
      </w:r>
      <w:proofErr w:type="spellEnd"/>
      <w:r>
        <w:t xml:space="preserve"> </w:t>
      </w:r>
      <w:proofErr w:type="spellStart"/>
      <w:r>
        <w:t>podskupine</w:t>
      </w:r>
      <w:proofErr w:type="spellEnd"/>
      <w:r>
        <w:t xml:space="preserve"> 193 </w:t>
      </w:r>
      <w:proofErr w:type="spellStart"/>
      <w:r>
        <w:t>te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preneseni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rashode</w:t>
      </w:r>
      <w:proofErr w:type="spellEnd"/>
      <w:r>
        <w:t xml:space="preserve"> </w:t>
      </w:r>
      <w:proofErr w:type="spellStart"/>
      <w:r>
        <w:t>zaduženjem</w:t>
      </w:r>
      <w:proofErr w:type="spellEnd"/>
      <w:r>
        <w:t xml:space="preserve"> </w:t>
      </w:r>
      <w:proofErr w:type="spellStart"/>
      <w:r>
        <w:t>odgovarajućih</w:t>
      </w:r>
      <w:proofErr w:type="spellEnd"/>
      <w:r>
        <w:t xml:space="preserve"> </w:t>
      </w:r>
      <w:proofErr w:type="spellStart"/>
      <w:r>
        <w:t>osnovnih</w:t>
      </w:r>
      <w:proofErr w:type="spellEnd"/>
      <w:r>
        <w:t xml:space="preserve"> </w:t>
      </w:r>
      <w:proofErr w:type="spellStart"/>
      <w:r>
        <w:t>računa</w:t>
      </w:r>
      <w:proofErr w:type="spellEnd"/>
      <w:r>
        <w:t xml:space="preserve"> </w:t>
      </w:r>
      <w:proofErr w:type="spellStart"/>
      <w:r>
        <w:t>razreda</w:t>
      </w:r>
      <w:proofErr w:type="spellEnd"/>
      <w:r>
        <w:t xml:space="preserve"> 3 – </w:t>
      </w:r>
      <w:proofErr w:type="spellStart"/>
      <w:r>
        <w:t>Rashodi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>.</w:t>
      </w:r>
    </w:p>
    <w:p w14:paraId="536F0BFB" w14:textId="77777777" w:rsidR="0092186F" w:rsidRDefault="00CD503B">
      <w:proofErr w:type="spellStart"/>
      <w:r>
        <w:t>Podskupina</w:t>
      </w:r>
      <w:proofErr w:type="spellEnd"/>
      <w:r>
        <w:t xml:space="preserve"> 193, </w:t>
      </w:r>
      <w:proofErr w:type="spellStart"/>
      <w:r>
        <w:t>koja</w:t>
      </w:r>
      <w:proofErr w:type="spellEnd"/>
      <w:r>
        <w:t xml:space="preserve"> je </w:t>
      </w:r>
      <w:proofErr w:type="spellStart"/>
      <w:r>
        <w:t>ukinuta</w:t>
      </w:r>
      <w:proofErr w:type="spellEnd"/>
      <w:r>
        <w:t xml:space="preserve"> s </w:t>
      </w:r>
      <w:proofErr w:type="spellStart"/>
      <w:r>
        <w:t>danom</w:t>
      </w:r>
      <w:proofErr w:type="spellEnd"/>
      <w:r>
        <w:t xml:space="preserve"> 1. </w:t>
      </w:r>
      <w:proofErr w:type="spellStart"/>
      <w:r>
        <w:t>siječnja</w:t>
      </w:r>
      <w:proofErr w:type="spellEnd"/>
      <w:r>
        <w:t xml:space="preserve"> 202</w:t>
      </w:r>
      <w:r>
        <w:t xml:space="preserve">5. </w:t>
      </w:r>
      <w:proofErr w:type="spellStart"/>
      <w:r>
        <w:t>godine</w:t>
      </w:r>
      <w:proofErr w:type="spellEnd"/>
      <w:r>
        <w:t xml:space="preserve">, </w:t>
      </w:r>
      <w:proofErr w:type="spellStart"/>
      <w:r>
        <w:t>više</w:t>
      </w:r>
      <w:proofErr w:type="spellEnd"/>
      <w:r>
        <w:t xml:space="preserve"> se ne </w:t>
      </w:r>
      <w:proofErr w:type="spellStart"/>
      <w:r>
        <w:t>koristi</w:t>
      </w:r>
      <w:proofErr w:type="spellEnd"/>
      <w:r>
        <w:t xml:space="preserve"> za </w:t>
      </w:r>
      <w:proofErr w:type="spellStart"/>
      <w:r>
        <w:t>evidentiranje</w:t>
      </w:r>
      <w:proofErr w:type="spellEnd"/>
      <w:r>
        <w:t xml:space="preserve"> </w:t>
      </w:r>
      <w:proofErr w:type="spellStart"/>
      <w:r>
        <w:t>kontinuiranih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u 2025. </w:t>
      </w:r>
      <w:proofErr w:type="spellStart"/>
      <w:r>
        <w:t>godini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u </w:t>
      </w:r>
      <w:proofErr w:type="spellStart"/>
      <w:r>
        <w:t>narednim</w:t>
      </w:r>
      <w:proofErr w:type="spellEnd"/>
      <w:r>
        <w:t xml:space="preserve"> </w:t>
      </w:r>
      <w:proofErr w:type="spellStart"/>
      <w:r>
        <w:t>razdobljima</w:t>
      </w:r>
      <w:proofErr w:type="spellEnd"/>
      <w:r>
        <w:t>.</w:t>
      </w:r>
    </w:p>
    <w:p w14:paraId="662B8E86" w14:textId="77777777" w:rsidR="0092186F" w:rsidRDefault="0092186F"/>
    <w:p w14:paraId="30078B90" w14:textId="77777777" w:rsidR="0092186F" w:rsidRDefault="00CD503B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2186F" w14:paraId="3BB4961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81E7D5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A7AC06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7F2D42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F816F8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1. </w:t>
            </w:r>
            <w:proofErr w:type="spellStart"/>
            <w:r>
              <w:rPr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95E157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31. </w:t>
            </w:r>
            <w:proofErr w:type="spellStart"/>
            <w:r>
              <w:rPr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F297C0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2186F" w14:paraId="01018C1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EEB538" w14:textId="77777777" w:rsidR="0092186F" w:rsidRDefault="00CD50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AAD60B" w14:textId="77777777" w:rsidR="0092186F" w:rsidRDefault="00CD503B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Rezultat</w:t>
            </w:r>
            <w:proofErr w:type="spellEnd"/>
            <w:r>
              <w:rPr>
                <w:sz w:val="18"/>
              </w:rPr>
              <w:t xml:space="preserve"> - </w:t>
            </w:r>
            <w:proofErr w:type="spellStart"/>
            <w:r>
              <w:rPr>
                <w:sz w:val="18"/>
              </w:rPr>
              <w:t>višak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manjak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E266BF" w14:textId="77777777" w:rsidR="0092186F" w:rsidRDefault="00CD50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8C85E0" w14:textId="77777777" w:rsidR="0092186F" w:rsidRDefault="00CD50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54.932,64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F8D012" w14:textId="77777777" w:rsidR="0092186F" w:rsidRDefault="00CD50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-89.765,66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531962" w14:textId="77777777" w:rsidR="0092186F" w:rsidRDefault="00CD50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-163,4</w:t>
            </w:r>
          </w:p>
        </w:tc>
      </w:tr>
    </w:tbl>
    <w:p w14:paraId="3367E669" w14:textId="77777777" w:rsidR="0092186F" w:rsidRDefault="0092186F">
      <w:pPr>
        <w:spacing w:after="0"/>
      </w:pPr>
    </w:p>
    <w:p w14:paraId="33FF0963" w14:textId="77777777" w:rsidR="0092186F" w:rsidRDefault="00CD503B">
      <w:proofErr w:type="spellStart"/>
      <w:r>
        <w:t>Člankom</w:t>
      </w:r>
      <w:proofErr w:type="spellEnd"/>
      <w:r>
        <w:t xml:space="preserve"> 233. </w:t>
      </w:r>
      <w:proofErr w:type="spellStart"/>
      <w:r>
        <w:t>Pravilnika</w:t>
      </w:r>
      <w:proofErr w:type="spellEnd"/>
      <w:r>
        <w:t xml:space="preserve"> o </w:t>
      </w:r>
      <w:proofErr w:type="spellStart"/>
      <w:r>
        <w:t>proračunskom</w:t>
      </w:r>
      <w:proofErr w:type="spellEnd"/>
      <w:r>
        <w:t xml:space="preserve"> </w:t>
      </w:r>
      <w:proofErr w:type="spellStart"/>
      <w:r>
        <w:t>računovodstvu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Računskom</w:t>
      </w:r>
      <w:proofErr w:type="spellEnd"/>
      <w:r>
        <w:t xml:space="preserve"> </w:t>
      </w:r>
      <w:proofErr w:type="spellStart"/>
      <w:r>
        <w:t>planu</w:t>
      </w:r>
      <w:proofErr w:type="spellEnd"/>
      <w:r>
        <w:t xml:space="preserve"> </w:t>
      </w:r>
      <w:proofErr w:type="spellStart"/>
      <w:r>
        <w:t>ukinuta</w:t>
      </w:r>
      <w:proofErr w:type="spellEnd"/>
      <w:r>
        <w:t xml:space="preserve"> je </w:t>
      </w:r>
      <w:proofErr w:type="spellStart"/>
      <w:r>
        <w:t>podskupina</w:t>
      </w:r>
      <w:proofErr w:type="spellEnd"/>
      <w:r>
        <w:t xml:space="preserve"> </w:t>
      </w:r>
      <w:proofErr w:type="spellStart"/>
      <w:r>
        <w:t>računa</w:t>
      </w:r>
      <w:proofErr w:type="spellEnd"/>
      <w:r>
        <w:t xml:space="preserve"> 193. </w:t>
      </w:r>
      <w:proofErr w:type="spellStart"/>
      <w:r>
        <w:t>Kontinuirani</w:t>
      </w:r>
      <w:proofErr w:type="spellEnd"/>
      <w:r>
        <w:t xml:space="preserve"> </w:t>
      </w:r>
      <w:proofErr w:type="spellStart"/>
      <w:r>
        <w:t>rashodi</w:t>
      </w:r>
      <w:proofErr w:type="spellEnd"/>
      <w:r>
        <w:t xml:space="preserve"> </w:t>
      </w:r>
      <w:proofErr w:type="spellStart"/>
      <w:r>
        <w:t>budućih</w:t>
      </w:r>
      <w:proofErr w:type="spellEnd"/>
      <w:r>
        <w:t xml:space="preserve"> </w:t>
      </w:r>
      <w:proofErr w:type="spellStart"/>
      <w:r>
        <w:t>razdoblja</w:t>
      </w:r>
      <w:proofErr w:type="spellEnd"/>
      <w:r>
        <w:t xml:space="preserve"> </w:t>
      </w:r>
      <w:proofErr w:type="spellStart"/>
      <w:r>
        <w:t>zatvoreni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odobrenjem</w:t>
      </w:r>
      <w:proofErr w:type="spellEnd"/>
      <w:r>
        <w:t xml:space="preserve"> </w:t>
      </w:r>
      <w:proofErr w:type="spellStart"/>
      <w:r>
        <w:t>odgovarajućih</w:t>
      </w:r>
      <w:proofErr w:type="spellEnd"/>
      <w:r>
        <w:t xml:space="preserve"> </w:t>
      </w:r>
      <w:proofErr w:type="spellStart"/>
      <w:r>
        <w:t>osnovnih</w:t>
      </w:r>
      <w:proofErr w:type="spellEnd"/>
      <w:r>
        <w:t xml:space="preserve"> </w:t>
      </w:r>
      <w:proofErr w:type="spellStart"/>
      <w:r>
        <w:t>računa</w:t>
      </w:r>
      <w:proofErr w:type="spellEnd"/>
      <w:r>
        <w:t xml:space="preserve"> </w:t>
      </w:r>
      <w:proofErr w:type="spellStart"/>
      <w:r>
        <w:t>podskupine</w:t>
      </w:r>
      <w:proofErr w:type="spellEnd"/>
      <w:r>
        <w:t xml:space="preserve"> 193 </w:t>
      </w:r>
      <w:proofErr w:type="spellStart"/>
      <w:r>
        <w:t>te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preneseni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rashode</w:t>
      </w:r>
      <w:proofErr w:type="spellEnd"/>
      <w:r>
        <w:t xml:space="preserve"> </w:t>
      </w:r>
      <w:proofErr w:type="spellStart"/>
      <w:r>
        <w:t>zaduženjem</w:t>
      </w:r>
      <w:proofErr w:type="spellEnd"/>
      <w:r>
        <w:t xml:space="preserve"> </w:t>
      </w:r>
      <w:proofErr w:type="spellStart"/>
      <w:r>
        <w:t>odgov</w:t>
      </w:r>
      <w:r>
        <w:t>arajućih</w:t>
      </w:r>
      <w:proofErr w:type="spellEnd"/>
      <w:r>
        <w:t xml:space="preserve"> </w:t>
      </w:r>
      <w:proofErr w:type="spellStart"/>
      <w:r>
        <w:t>osnovnih</w:t>
      </w:r>
      <w:proofErr w:type="spellEnd"/>
      <w:r>
        <w:t xml:space="preserve"> </w:t>
      </w:r>
      <w:proofErr w:type="spellStart"/>
      <w:r>
        <w:t>računa</w:t>
      </w:r>
      <w:proofErr w:type="spellEnd"/>
      <w:r>
        <w:t xml:space="preserve"> </w:t>
      </w:r>
      <w:proofErr w:type="spellStart"/>
      <w:r>
        <w:t>razreda</w:t>
      </w:r>
      <w:proofErr w:type="spellEnd"/>
      <w:r>
        <w:t xml:space="preserve"> 3 – </w:t>
      </w:r>
      <w:proofErr w:type="spellStart"/>
      <w:r>
        <w:t>Rashodi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>.</w:t>
      </w:r>
    </w:p>
    <w:p w14:paraId="5A17E5A1" w14:textId="77777777" w:rsidR="0092186F" w:rsidRDefault="00CD503B">
      <w:proofErr w:type="spellStart"/>
      <w:r>
        <w:t>Plaće</w:t>
      </w:r>
      <w:proofErr w:type="spellEnd"/>
      <w:r>
        <w:t xml:space="preserve">, </w:t>
      </w:r>
      <w:proofErr w:type="spellStart"/>
      <w:r>
        <w:t>materijalna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radnika</w:t>
      </w:r>
      <w:proofErr w:type="spellEnd"/>
      <w:r>
        <w:t xml:space="preserve">, </w:t>
      </w:r>
      <w:proofErr w:type="spellStart"/>
      <w:r>
        <w:t>prijevoz</w:t>
      </w:r>
      <w:proofErr w:type="spellEnd"/>
      <w:r>
        <w:t xml:space="preserve"> s </w:t>
      </w:r>
      <w:proofErr w:type="spellStart"/>
      <w:r>
        <w:t>posla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posao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režijski</w:t>
      </w:r>
      <w:proofErr w:type="spellEnd"/>
      <w:r>
        <w:t xml:space="preserve"> </w:t>
      </w:r>
      <w:proofErr w:type="spellStart"/>
      <w:r>
        <w:t>troškovi</w:t>
      </w:r>
      <w:proofErr w:type="spellEnd"/>
      <w:r>
        <w:t xml:space="preserve"> za </w:t>
      </w:r>
      <w:proofErr w:type="spellStart"/>
      <w:r>
        <w:t>prosinac</w:t>
      </w:r>
      <w:proofErr w:type="spellEnd"/>
      <w:r>
        <w:t xml:space="preserve"> 2025.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evidentirani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izravno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razredu</w:t>
      </w:r>
      <w:proofErr w:type="spellEnd"/>
      <w:r>
        <w:t xml:space="preserve"> 3, </w:t>
      </w:r>
      <w:proofErr w:type="spellStart"/>
      <w:r>
        <w:t>čime</w:t>
      </w:r>
      <w:proofErr w:type="spellEnd"/>
      <w:r>
        <w:t xml:space="preserve"> je </w:t>
      </w:r>
      <w:proofErr w:type="spellStart"/>
      <w:r>
        <w:t>škola</w:t>
      </w:r>
      <w:proofErr w:type="spellEnd"/>
      <w:r>
        <w:t xml:space="preserve"> </w:t>
      </w:r>
      <w:proofErr w:type="spellStart"/>
      <w:r>
        <w:t>iskazala</w:t>
      </w:r>
      <w:proofErr w:type="spellEnd"/>
      <w:r>
        <w:t xml:space="preserve"> </w:t>
      </w:r>
      <w:proofErr w:type="spellStart"/>
      <w:r>
        <w:t>manjak</w:t>
      </w:r>
      <w:proofErr w:type="spellEnd"/>
      <w:r>
        <w:t xml:space="preserve"> </w:t>
      </w:r>
      <w:proofErr w:type="spellStart"/>
      <w:r>
        <w:t>prihoda</w:t>
      </w:r>
      <w:proofErr w:type="spellEnd"/>
      <w:r>
        <w:t>.</w:t>
      </w:r>
    </w:p>
    <w:p w14:paraId="61D13EB2" w14:textId="77777777" w:rsidR="0092186F" w:rsidRDefault="0092186F"/>
    <w:p w14:paraId="335F15B8" w14:textId="77777777" w:rsidR="0092186F" w:rsidRDefault="00CD503B">
      <w:pPr>
        <w:keepNext/>
        <w:spacing w:line="240" w:lineRule="auto"/>
        <w:jc w:val="center"/>
      </w:pPr>
      <w:proofErr w:type="spellStart"/>
      <w:r>
        <w:rPr>
          <w:sz w:val="28"/>
        </w:rPr>
        <w:lastRenderedPageBreak/>
        <w:t>Bilješka</w:t>
      </w:r>
      <w:proofErr w:type="spellEnd"/>
      <w:r>
        <w:rPr>
          <w:sz w:val="28"/>
        </w:rPr>
        <w:t xml:space="preserve">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2186F" w14:paraId="5FA0188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D112A0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C47BB6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CACB10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DCE566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1. </w:t>
            </w:r>
            <w:proofErr w:type="spellStart"/>
            <w:r>
              <w:rPr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5969EC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31. </w:t>
            </w:r>
            <w:proofErr w:type="spellStart"/>
            <w:r>
              <w:rPr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4163D7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2186F" w14:paraId="4C90174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D9E2B0" w14:textId="77777777" w:rsidR="0092186F" w:rsidRDefault="00CD50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0DA4625" w14:textId="77777777" w:rsidR="0092186F" w:rsidRDefault="00CD503B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Pomoći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proračunskim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korisnicima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proračuna</w:t>
            </w:r>
            <w:proofErr w:type="spellEnd"/>
            <w:r>
              <w:rPr>
                <w:sz w:val="18"/>
              </w:rPr>
              <w:t xml:space="preserve"> koji </w:t>
            </w:r>
            <w:proofErr w:type="spellStart"/>
            <w:r>
              <w:rPr>
                <w:sz w:val="18"/>
              </w:rPr>
              <w:t>im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nije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nadležan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C1A281" w14:textId="77777777" w:rsidR="0092186F" w:rsidRDefault="00CD50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83F705" w14:textId="77777777" w:rsidR="0092186F" w:rsidRDefault="00CD50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A85195" w14:textId="77777777" w:rsidR="0092186F" w:rsidRDefault="00CD50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182.803,66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4EA802" w14:textId="77777777" w:rsidR="0092186F" w:rsidRDefault="00CD50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ED94A91" w14:textId="77777777" w:rsidR="0092186F" w:rsidRDefault="0092186F">
      <w:pPr>
        <w:spacing w:after="0"/>
      </w:pPr>
    </w:p>
    <w:p w14:paraId="010E85BB" w14:textId="77777777" w:rsidR="0092186F" w:rsidRDefault="00CD503B">
      <w:r>
        <w:t xml:space="preserve">Do </w:t>
      </w:r>
      <w:proofErr w:type="spellStart"/>
      <w:r>
        <w:t>početka</w:t>
      </w:r>
      <w:proofErr w:type="spellEnd"/>
      <w:r>
        <w:t xml:space="preserve"> </w:t>
      </w:r>
      <w:proofErr w:type="spellStart"/>
      <w:r>
        <w:t>primjene</w:t>
      </w:r>
      <w:proofErr w:type="spellEnd"/>
      <w:r>
        <w:t xml:space="preserve"> </w:t>
      </w:r>
      <w:proofErr w:type="spellStart"/>
      <w:r>
        <w:t>novog</w:t>
      </w:r>
      <w:proofErr w:type="spellEnd"/>
      <w:r>
        <w:t xml:space="preserve"> </w:t>
      </w:r>
      <w:proofErr w:type="spellStart"/>
      <w:r>
        <w:t>Pravilnika</w:t>
      </w:r>
      <w:proofErr w:type="spellEnd"/>
      <w:r>
        <w:t xml:space="preserve"> o </w:t>
      </w:r>
      <w:proofErr w:type="spellStart"/>
      <w:r>
        <w:t>računovodstvu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do 1. </w:t>
      </w:r>
      <w:proofErr w:type="spellStart"/>
      <w:r>
        <w:t>siječnja</w:t>
      </w:r>
      <w:proofErr w:type="spellEnd"/>
      <w:r>
        <w:t xml:space="preserve"> 2025. </w:t>
      </w:r>
      <w:proofErr w:type="spellStart"/>
      <w:r>
        <w:t>godine</w:t>
      </w:r>
      <w:proofErr w:type="spellEnd"/>
      <w:r>
        <w:t xml:space="preserve">, </w:t>
      </w:r>
      <w:proofErr w:type="spellStart"/>
      <w:r>
        <w:t>prihodi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koji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nadležan</w:t>
      </w:r>
      <w:proofErr w:type="spellEnd"/>
      <w:r>
        <w:t xml:space="preserve"> </w:t>
      </w:r>
      <w:proofErr w:type="spellStart"/>
      <w:r>
        <w:t>školskim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predškolskim</w:t>
      </w:r>
      <w:proofErr w:type="spellEnd"/>
      <w:r>
        <w:t xml:space="preserve"> </w:t>
      </w:r>
      <w:proofErr w:type="spellStart"/>
      <w:r>
        <w:t>ustanovama</w:t>
      </w:r>
      <w:proofErr w:type="spellEnd"/>
      <w:r>
        <w:t xml:space="preserve"> </w:t>
      </w:r>
      <w:proofErr w:type="spellStart"/>
      <w:r>
        <w:t>priznavali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se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novčanom</w:t>
      </w:r>
      <w:proofErr w:type="spellEnd"/>
      <w:r>
        <w:t xml:space="preserve"> </w:t>
      </w:r>
      <w:proofErr w:type="spellStart"/>
      <w:r>
        <w:t>računovodstvenom</w:t>
      </w:r>
      <w:proofErr w:type="spellEnd"/>
      <w:r>
        <w:t xml:space="preserve"> </w:t>
      </w:r>
      <w:proofErr w:type="spellStart"/>
      <w:r>
        <w:t>načelu</w:t>
      </w:r>
      <w:proofErr w:type="spellEnd"/>
      <w:r>
        <w:t>.</w:t>
      </w:r>
    </w:p>
    <w:p w14:paraId="252CFD60" w14:textId="77777777" w:rsidR="0092186F" w:rsidRDefault="00CD503B">
      <w:proofErr w:type="spellStart"/>
      <w:r>
        <w:t>Sukladno</w:t>
      </w:r>
      <w:proofErr w:type="spellEnd"/>
      <w:r>
        <w:t xml:space="preserve"> </w:t>
      </w:r>
      <w:proofErr w:type="spellStart"/>
      <w:r>
        <w:t>članku</w:t>
      </w:r>
      <w:proofErr w:type="spellEnd"/>
      <w:r>
        <w:t xml:space="preserve"> 160. </w:t>
      </w:r>
      <w:proofErr w:type="spellStart"/>
      <w:r>
        <w:t>novog</w:t>
      </w:r>
      <w:proofErr w:type="spellEnd"/>
      <w:r>
        <w:t xml:space="preserve"> </w:t>
      </w:r>
      <w:proofErr w:type="spellStart"/>
      <w:r>
        <w:t>Pravil</w:t>
      </w:r>
      <w:r>
        <w:t>nika</w:t>
      </w:r>
      <w:proofErr w:type="spellEnd"/>
      <w:r>
        <w:t xml:space="preserve">, </w:t>
      </w:r>
      <w:proofErr w:type="spellStart"/>
      <w:r>
        <w:t>školske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predškolske</w:t>
      </w:r>
      <w:proofErr w:type="spellEnd"/>
      <w:r>
        <w:t xml:space="preserve"> </w:t>
      </w:r>
      <w:proofErr w:type="spellStart"/>
      <w:r>
        <w:t>ustanove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temelju</w:t>
      </w:r>
      <w:proofErr w:type="spellEnd"/>
      <w:r>
        <w:t xml:space="preserve"> </w:t>
      </w:r>
      <w:proofErr w:type="spellStart"/>
      <w:r>
        <w:t>zaprimljenog</w:t>
      </w:r>
      <w:proofErr w:type="spellEnd"/>
      <w:r>
        <w:t xml:space="preserve"> </w:t>
      </w:r>
      <w:proofErr w:type="spellStart"/>
      <w:r>
        <w:t>rješenja</w:t>
      </w:r>
      <w:proofErr w:type="spellEnd"/>
      <w:r>
        <w:t xml:space="preserve"> </w:t>
      </w:r>
      <w:proofErr w:type="spellStart"/>
      <w:r>
        <w:t>drugog</w:t>
      </w:r>
      <w:proofErr w:type="spellEnd"/>
      <w:r>
        <w:t xml:space="preserve"> </w:t>
      </w:r>
      <w:proofErr w:type="spellStart"/>
      <w:r>
        <w:t>subjekta</w:t>
      </w:r>
      <w:proofErr w:type="spellEnd"/>
      <w:r>
        <w:t xml:space="preserve">, </w:t>
      </w:r>
      <w:proofErr w:type="spellStart"/>
      <w:r>
        <w:t>ali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drugog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, </w:t>
      </w:r>
      <w:proofErr w:type="spellStart"/>
      <w:r>
        <w:t>ostvaruju</w:t>
      </w:r>
      <w:proofErr w:type="spellEnd"/>
      <w:r>
        <w:t xml:space="preserve"> </w:t>
      </w:r>
      <w:proofErr w:type="spellStart"/>
      <w:r>
        <w:t>pomoć</w:t>
      </w:r>
      <w:proofErr w:type="spellEnd"/>
      <w:r>
        <w:t xml:space="preserve">, </w:t>
      </w:r>
      <w:proofErr w:type="spellStart"/>
      <w:r>
        <w:t>obvezne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evidentirati</w:t>
      </w:r>
      <w:proofErr w:type="spellEnd"/>
      <w:r>
        <w:t xml:space="preserve"> </w:t>
      </w:r>
      <w:proofErr w:type="spellStart"/>
      <w:r>
        <w:t>potraživanja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računu</w:t>
      </w:r>
      <w:proofErr w:type="spellEnd"/>
      <w:r>
        <w:t xml:space="preserve"> 163 </w:t>
      </w:r>
      <w:proofErr w:type="spellStart"/>
      <w:r>
        <w:t>Potraživanja</w:t>
      </w:r>
      <w:proofErr w:type="spellEnd"/>
      <w:r>
        <w:t xml:space="preserve"> za </w:t>
      </w:r>
      <w:proofErr w:type="spellStart"/>
      <w:r>
        <w:t>pomoći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subjekata</w:t>
      </w:r>
      <w:proofErr w:type="spellEnd"/>
      <w:r>
        <w:t xml:space="preserve"> </w:t>
      </w:r>
      <w:proofErr w:type="spellStart"/>
      <w:r>
        <w:t>unutar</w:t>
      </w:r>
      <w:proofErr w:type="spellEnd"/>
      <w:r>
        <w:t xml:space="preserve"> </w:t>
      </w:r>
      <w:proofErr w:type="spellStart"/>
      <w:r>
        <w:t>općeg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obračuna</w:t>
      </w:r>
      <w:r>
        <w:t>te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računu</w:t>
      </w:r>
      <w:proofErr w:type="spellEnd"/>
      <w:r>
        <w:t xml:space="preserve"> 963 </w:t>
      </w:r>
      <w:proofErr w:type="spellStart"/>
      <w:r>
        <w:t>Obračunate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subjekata</w:t>
      </w:r>
      <w:proofErr w:type="spellEnd"/>
      <w:r>
        <w:t xml:space="preserve"> </w:t>
      </w:r>
      <w:proofErr w:type="spellStart"/>
      <w:r>
        <w:t>unutar</w:t>
      </w:r>
      <w:proofErr w:type="spellEnd"/>
      <w:r>
        <w:t xml:space="preserve"> </w:t>
      </w:r>
      <w:proofErr w:type="spellStart"/>
      <w:r>
        <w:t>općeg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>.</w:t>
      </w:r>
    </w:p>
    <w:p w14:paraId="4A010652" w14:textId="77777777" w:rsidR="0092186F" w:rsidRDefault="00CD503B">
      <w:proofErr w:type="spellStart"/>
      <w:r>
        <w:t>Navedeno</w:t>
      </w:r>
      <w:proofErr w:type="spellEnd"/>
      <w:r>
        <w:t xml:space="preserve"> se </w:t>
      </w:r>
      <w:proofErr w:type="spellStart"/>
      <w:r>
        <w:t>odnosi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prihode</w:t>
      </w:r>
      <w:proofErr w:type="spellEnd"/>
      <w:r>
        <w:t xml:space="preserve">, </w:t>
      </w:r>
      <w:proofErr w:type="spellStart"/>
      <w:r>
        <w:t>osim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od </w:t>
      </w:r>
      <w:proofErr w:type="spellStart"/>
      <w:r>
        <w:t>osnivača</w:t>
      </w:r>
      <w:proofErr w:type="spellEnd"/>
      <w:r>
        <w:t xml:space="preserve"> koji se </w:t>
      </w:r>
      <w:proofErr w:type="spellStart"/>
      <w:r>
        <w:t>evidentiraju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računima</w:t>
      </w:r>
      <w:proofErr w:type="spellEnd"/>
      <w:r>
        <w:t xml:space="preserve"> 671 </w:t>
      </w:r>
      <w:proofErr w:type="spellStart"/>
      <w:r>
        <w:t>i</w:t>
      </w:r>
      <w:proofErr w:type="spellEnd"/>
      <w:r>
        <w:t xml:space="preserve"> 639 </w:t>
      </w:r>
      <w:proofErr w:type="spellStart"/>
      <w:r>
        <w:t>te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od </w:t>
      </w:r>
      <w:proofErr w:type="spellStart"/>
      <w:r>
        <w:t>donacija</w:t>
      </w:r>
      <w:proofErr w:type="spellEnd"/>
      <w:r>
        <w:t xml:space="preserve"> koji se </w:t>
      </w:r>
      <w:proofErr w:type="spellStart"/>
      <w:r>
        <w:t>evidentiraju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računu</w:t>
      </w:r>
      <w:proofErr w:type="spellEnd"/>
      <w:r>
        <w:t xml:space="preserve"> 663.</w:t>
      </w:r>
    </w:p>
    <w:p w14:paraId="245C50D8" w14:textId="77777777" w:rsidR="0092186F" w:rsidRDefault="0092186F"/>
    <w:p w14:paraId="0496308F" w14:textId="77777777" w:rsidR="0092186F" w:rsidRDefault="00CD503B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2186F" w14:paraId="76AB5C4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D1995F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</w:t>
            </w:r>
            <w:r>
              <w:rPr>
                <w:b/>
                <w:sz w:val="18"/>
              </w:rPr>
              <w:t>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F5868F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380CDF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527039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1. </w:t>
            </w:r>
            <w:proofErr w:type="spellStart"/>
            <w:r>
              <w:rPr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A810CE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31. </w:t>
            </w:r>
            <w:proofErr w:type="spellStart"/>
            <w:r>
              <w:rPr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9956FF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2186F" w14:paraId="3E46131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FF5833" w14:textId="77777777" w:rsidR="0092186F" w:rsidRDefault="00CD50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27521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CE758B2" w14:textId="77777777" w:rsidR="0092186F" w:rsidRDefault="00CD503B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Obveze</w:t>
            </w:r>
            <w:proofErr w:type="spellEnd"/>
            <w:r>
              <w:rPr>
                <w:sz w:val="18"/>
              </w:rPr>
              <w:t xml:space="preserve"> za EU </w:t>
            </w:r>
            <w:proofErr w:type="spellStart"/>
            <w:r>
              <w:rPr>
                <w:sz w:val="18"/>
              </w:rPr>
              <w:t>predujmove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dane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državnog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proračuna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427909" w14:textId="77777777" w:rsidR="0092186F" w:rsidRDefault="00CD50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27521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2A15FB" w14:textId="77777777" w:rsidR="0092186F" w:rsidRDefault="00CD50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99EB23" w14:textId="77777777" w:rsidR="0092186F" w:rsidRDefault="00CD50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14.779,20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DE9D51" w14:textId="77777777" w:rsidR="0092186F" w:rsidRDefault="00CD50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156BA6A" w14:textId="77777777" w:rsidR="0092186F" w:rsidRDefault="0092186F">
      <w:pPr>
        <w:spacing w:after="0"/>
      </w:pPr>
    </w:p>
    <w:p w14:paraId="173A2750" w14:textId="77777777" w:rsidR="0092186F" w:rsidRDefault="00CD503B">
      <w:proofErr w:type="spellStart"/>
      <w:r>
        <w:t>Prema</w:t>
      </w:r>
      <w:proofErr w:type="spellEnd"/>
      <w:r>
        <w:t xml:space="preserve"> </w:t>
      </w:r>
      <w:proofErr w:type="spellStart"/>
      <w:r>
        <w:t>Ugovoru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dodjeli</w:t>
      </w:r>
      <w:proofErr w:type="spellEnd"/>
      <w:r>
        <w:t xml:space="preserve"> </w:t>
      </w:r>
      <w:proofErr w:type="spellStart"/>
      <w:r>
        <w:t>bespovratnih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za program Erasmus </w:t>
      </w:r>
      <w:proofErr w:type="spellStart"/>
      <w:r>
        <w:t>Projekta</w:t>
      </w:r>
      <w:proofErr w:type="spellEnd"/>
      <w:r>
        <w:t xml:space="preserve"> 2025-1-HR01-KA122-SCH-000343891 </w:t>
      </w:r>
      <w:proofErr w:type="spellStart"/>
      <w:r>
        <w:t>između</w:t>
      </w:r>
      <w:proofErr w:type="spellEnd"/>
      <w:r>
        <w:t xml:space="preserve"> </w:t>
      </w:r>
      <w:proofErr w:type="spellStart"/>
      <w:r>
        <w:t>Agencije</w:t>
      </w:r>
      <w:proofErr w:type="spellEnd"/>
      <w:r>
        <w:t xml:space="preserve"> za </w:t>
      </w:r>
      <w:proofErr w:type="spellStart"/>
      <w:r>
        <w:t>mobilnost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programe</w:t>
      </w:r>
      <w:proofErr w:type="spellEnd"/>
      <w:r>
        <w:t xml:space="preserve"> EU </w:t>
      </w:r>
      <w:proofErr w:type="spellStart"/>
      <w:r>
        <w:t>i</w:t>
      </w:r>
      <w:proofErr w:type="spellEnd"/>
      <w:r>
        <w:t xml:space="preserve"> </w:t>
      </w:r>
      <w:proofErr w:type="spellStart"/>
      <w:r>
        <w:t>Ekonomsko-birotehničke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trgovačke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Zadar, </w:t>
      </w:r>
      <w:proofErr w:type="spellStart"/>
      <w:r>
        <w:t>Ekonomsko-birotehnička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trgovačka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Zadar </w:t>
      </w:r>
      <w:proofErr w:type="spellStart"/>
      <w:r>
        <w:t>zaprimila</w:t>
      </w:r>
      <w:proofErr w:type="spellEnd"/>
      <w:r>
        <w:t xml:space="preserve"> je dana 10.07.2025. </w:t>
      </w:r>
      <w:proofErr w:type="spellStart"/>
      <w:r>
        <w:t>predujam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14.779,20 EUR za </w:t>
      </w:r>
      <w:proofErr w:type="spellStart"/>
      <w:r>
        <w:t>realiaciju</w:t>
      </w:r>
      <w:proofErr w:type="spellEnd"/>
      <w:r>
        <w:t xml:space="preserve"> Erasmus+ </w:t>
      </w:r>
      <w:proofErr w:type="spellStart"/>
      <w:r>
        <w:t>projekta</w:t>
      </w:r>
      <w:proofErr w:type="spellEnd"/>
      <w:r>
        <w:t>. </w:t>
      </w:r>
    </w:p>
    <w:p w14:paraId="2D02E162" w14:textId="77777777" w:rsidR="0092186F" w:rsidRDefault="0092186F"/>
    <w:p w14:paraId="628D44B7" w14:textId="77777777" w:rsidR="0092186F" w:rsidRDefault="00CD503B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2186F" w14:paraId="1B5E2A5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9211B2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BDC51C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3FAF25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2EEE76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1. </w:t>
            </w:r>
            <w:proofErr w:type="spellStart"/>
            <w:r>
              <w:rPr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7F24C4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31. </w:t>
            </w:r>
            <w:proofErr w:type="spellStart"/>
            <w:r>
              <w:rPr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B275CE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2186F" w14:paraId="0DFC8C7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8A2E09" w14:textId="77777777" w:rsidR="0092186F" w:rsidRDefault="00CD50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E14C31E" w14:textId="77777777" w:rsidR="0092186F" w:rsidRDefault="00CD503B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Potencijalne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obveze</w:t>
            </w:r>
            <w:proofErr w:type="spellEnd"/>
            <w:r>
              <w:rPr>
                <w:sz w:val="18"/>
              </w:rPr>
              <w:t xml:space="preserve"> po </w:t>
            </w:r>
            <w:proofErr w:type="spellStart"/>
            <w:r>
              <w:rPr>
                <w:sz w:val="18"/>
              </w:rPr>
              <w:t>osnovi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sudskih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sporova</w:t>
            </w:r>
            <w:proofErr w:type="spellEnd"/>
            <w:r>
              <w:rPr>
                <w:sz w:val="18"/>
              </w:rPr>
              <w:t xml:space="preserve"> u </w:t>
            </w:r>
            <w:proofErr w:type="spellStart"/>
            <w:r>
              <w:rPr>
                <w:sz w:val="18"/>
              </w:rPr>
              <w:t>tijeku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8E4A69" w14:textId="77777777" w:rsidR="0092186F" w:rsidRDefault="00CD50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C9895E" w14:textId="77777777" w:rsidR="0092186F" w:rsidRDefault="00CD50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A7B24B" w14:textId="77777777" w:rsidR="0092186F" w:rsidRDefault="00CD50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6FA43E" w14:textId="77777777" w:rsidR="0092186F" w:rsidRDefault="00CD50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CA5253E" w14:textId="77777777" w:rsidR="0092186F" w:rsidRDefault="0092186F">
      <w:pPr>
        <w:spacing w:after="0"/>
      </w:pPr>
    </w:p>
    <w:p w14:paraId="569292F7" w14:textId="77777777" w:rsidR="0092186F" w:rsidRDefault="00CD503B">
      <w:proofErr w:type="spellStart"/>
      <w:r>
        <w:t>Škola</w:t>
      </w:r>
      <w:proofErr w:type="spellEnd"/>
      <w:r>
        <w:t xml:space="preserve"> </w:t>
      </w:r>
      <w:proofErr w:type="spellStart"/>
      <w:r>
        <w:t>više</w:t>
      </w:r>
      <w:proofErr w:type="spellEnd"/>
      <w:r>
        <w:t xml:space="preserve"> </w:t>
      </w:r>
      <w:proofErr w:type="spellStart"/>
      <w:r>
        <w:t>nema</w:t>
      </w:r>
      <w:proofErr w:type="spellEnd"/>
      <w:r>
        <w:t xml:space="preserve"> </w:t>
      </w:r>
      <w:proofErr w:type="spellStart"/>
      <w:r>
        <w:t>potencijalnih</w:t>
      </w:r>
      <w:proofErr w:type="spellEnd"/>
      <w:r>
        <w:t xml:space="preserve"> </w:t>
      </w:r>
      <w:proofErr w:type="spellStart"/>
      <w:r>
        <w:t>sudskih</w:t>
      </w:r>
      <w:proofErr w:type="spellEnd"/>
      <w:r>
        <w:t xml:space="preserve"> </w:t>
      </w:r>
      <w:proofErr w:type="spellStart"/>
      <w:r>
        <w:t>sporova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djelatnika</w:t>
      </w:r>
      <w:proofErr w:type="spellEnd"/>
      <w:r>
        <w:t xml:space="preserve"> koji </w:t>
      </w:r>
      <w:proofErr w:type="spellStart"/>
      <w:r>
        <w:t>su</w:t>
      </w:r>
      <w:proofErr w:type="spellEnd"/>
      <w:r>
        <w:t xml:space="preserve"> </w:t>
      </w:r>
      <w:proofErr w:type="spellStart"/>
      <w:r>
        <w:t>tužili</w:t>
      </w:r>
      <w:proofErr w:type="spellEnd"/>
      <w:r>
        <w:t xml:space="preserve"> </w:t>
      </w:r>
      <w:proofErr w:type="spellStart"/>
      <w:r>
        <w:t>školu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neisplaćenog</w:t>
      </w:r>
      <w:proofErr w:type="spellEnd"/>
      <w:r>
        <w:t xml:space="preserve"> </w:t>
      </w:r>
      <w:proofErr w:type="spellStart"/>
      <w:r>
        <w:t>dijela</w:t>
      </w:r>
      <w:proofErr w:type="spellEnd"/>
      <w:r>
        <w:t xml:space="preserve"> </w:t>
      </w:r>
      <w:proofErr w:type="spellStart"/>
      <w:r>
        <w:t>osnovice</w:t>
      </w:r>
      <w:proofErr w:type="spellEnd"/>
      <w:r>
        <w:t xml:space="preserve"> za </w:t>
      </w:r>
      <w:proofErr w:type="spellStart"/>
      <w:r>
        <w:t>izračun</w:t>
      </w:r>
      <w:proofErr w:type="spellEnd"/>
      <w:r>
        <w:t xml:space="preserve"> </w:t>
      </w:r>
      <w:proofErr w:type="spellStart"/>
      <w:r>
        <w:t>plaće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6%. </w:t>
      </w:r>
      <w:proofErr w:type="spellStart"/>
      <w:r>
        <w:t>Sve</w:t>
      </w:r>
      <w:proofErr w:type="spellEnd"/>
      <w:r>
        <w:t xml:space="preserve"> </w:t>
      </w:r>
      <w:proofErr w:type="spellStart"/>
      <w:r>
        <w:t>pravomoćne</w:t>
      </w:r>
      <w:proofErr w:type="spellEnd"/>
      <w:r>
        <w:t xml:space="preserve"> </w:t>
      </w:r>
      <w:proofErr w:type="spellStart"/>
      <w:r>
        <w:t>presude</w:t>
      </w:r>
      <w:proofErr w:type="spellEnd"/>
      <w:r>
        <w:t xml:space="preserve"> </w:t>
      </w:r>
      <w:proofErr w:type="spellStart"/>
      <w:r>
        <w:t>podmirene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</w:t>
      </w:r>
      <w:proofErr w:type="spellStart"/>
      <w:r>
        <w:t>više</w:t>
      </w:r>
      <w:proofErr w:type="spellEnd"/>
      <w:r>
        <w:t xml:space="preserve"> </w:t>
      </w:r>
      <w:proofErr w:type="spellStart"/>
      <w:r>
        <w:t>nema</w:t>
      </w:r>
      <w:proofErr w:type="spellEnd"/>
      <w:r>
        <w:t xml:space="preserve"> </w:t>
      </w:r>
      <w:proofErr w:type="spellStart"/>
      <w:r>
        <w:t>nikakav</w:t>
      </w:r>
      <w:proofErr w:type="spellEnd"/>
      <w:r>
        <w:t xml:space="preserve"> </w:t>
      </w:r>
      <w:proofErr w:type="spellStart"/>
      <w:r>
        <w:t>saldo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izvanbilančnoj</w:t>
      </w:r>
      <w:proofErr w:type="spellEnd"/>
      <w:r>
        <w:t xml:space="preserve"> </w:t>
      </w:r>
      <w:proofErr w:type="spellStart"/>
      <w:r>
        <w:t>evidenciji</w:t>
      </w:r>
      <w:proofErr w:type="spellEnd"/>
      <w:r>
        <w:t>.</w:t>
      </w:r>
    </w:p>
    <w:p w14:paraId="501CE698" w14:textId="77777777" w:rsidR="0092186F" w:rsidRDefault="0092186F"/>
    <w:p w14:paraId="7FC73F63" w14:textId="77777777" w:rsidR="0092186F" w:rsidRDefault="00CD503B">
      <w:pPr>
        <w:keepNext/>
        <w:spacing w:line="240" w:lineRule="auto"/>
        <w:jc w:val="center"/>
      </w:pPr>
      <w:proofErr w:type="spellStart"/>
      <w:r>
        <w:rPr>
          <w:b/>
          <w:sz w:val="28"/>
        </w:rPr>
        <w:lastRenderedPageBreak/>
        <w:t>Izvješ</w:t>
      </w:r>
      <w:r>
        <w:rPr>
          <w:b/>
          <w:sz w:val="28"/>
        </w:rPr>
        <w:t>taj</w:t>
      </w:r>
      <w:proofErr w:type="spellEnd"/>
      <w:r>
        <w:rPr>
          <w:b/>
          <w:sz w:val="28"/>
        </w:rPr>
        <w:t xml:space="preserve"> o </w:t>
      </w:r>
      <w:proofErr w:type="spellStart"/>
      <w:r>
        <w:rPr>
          <w:b/>
          <w:sz w:val="28"/>
        </w:rPr>
        <w:t>rashodima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prema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funkcijskoj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klasifikaciji</w:t>
      </w:r>
      <w:proofErr w:type="spellEnd"/>
    </w:p>
    <w:p w14:paraId="19D7C7EE" w14:textId="77777777" w:rsidR="0092186F" w:rsidRDefault="00CD503B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2186F" w14:paraId="4656B4C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1DBED2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2E2B19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382963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98837E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F97262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A5EBE0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2186F" w14:paraId="76728CE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6256A5" w14:textId="77777777" w:rsidR="0092186F" w:rsidRDefault="00CD50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2A2A053" w14:textId="77777777" w:rsidR="0092186F" w:rsidRDefault="00CD503B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Više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srednjoškolsko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obrazovanje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ED8CB0" w14:textId="77777777" w:rsidR="0092186F" w:rsidRDefault="00CD50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3AEB12" w14:textId="77777777" w:rsidR="0092186F" w:rsidRDefault="00CD50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2.246.993,30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58CEAE" w14:textId="77777777" w:rsidR="0092186F" w:rsidRDefault="00CD50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2.746.096,01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FDCB70" w14:textId="77777777" w:rsidR="0092186F" w:rsidRDefault="00CD50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122,2</w:t>
            </w:r>
          </w:p>
        </w:tc>
      </w:tr>
    </w:tbl>
    <w:p w14:paraId="23949EFD" w14:textId="77777777" w:rsidR="0092186F" w:rsidRDefault="0092186F">
      <w:pPr>
        <w:spacing w:after="0"/>
      </w:pPr>
    </w:p>
    <w:p w14:paraId="17A40962" w14:textId="77777777" w:rsidR="0092186F" w:rsidRDefault="00CD503B">
      <w:proofErr w:type="spellStart"/>
      <w:r>
        <w:t>Najznačajniji</w:t>
      </w:r>
      <w:proofErr w:type="spellEnd"/>
      <w:r>
        <w:t xml:space="preserve"> </w:t>
      </w:r>
      <w:proofErr w:type="spellStart"/>
      <w:r>
        <w:t>porast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</w:t>
      </w:r>
      <w:proofErr w:type="spellStart"/>
      <w:r>
        <w:t>evidentiran</w:t>
      </w:r>
      <w:proofErr w:type="spellEnd"/>
      <w:r>
        <w:t xml:space="preserve"> je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rashodima</w:t>
      </w:r>
      <w:proofErr w:type="spellEnd"/>
      <w:r>
        <w:t xml:space="preserve"> za </w:t>
      </w:r>
      <w:proofErr w:type="spellStart"/>
      <w:r>
        <w:t>zaposlene</w:t>
      </w:r>
      <w:proofErr w:type="spellEnd"/>
      <w:r>
        <w:t xml:space="preserve">, </w:t>
      </w:r>
      <w:proofErr w:type="spellStart"/>
      <w:r>
        <w:t>ponajprije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stupanja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snagu</w:t>
      </w:r>
      <w:proofErr w:type="spellEnd"/>
      <w:r>
        <w:t xml:space="preserve"> </w:t>
      </w:r>
      <w:proofErr w:type="spellStart"/>
      <w:r>
        <w:t>nove</w:t>
      </w:r>
      <w:proofErr w:type="spellEnd"/>
      <w:r>
        <w:t xml:space="preserve"> </w:t>
      </w:r>
      <w:proofErr w:type="spellStart"/>
      <w:r>
        <w:t>Uredbe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povećanja</w:t>
      </w:r>
      <w:proofErr w:type="spellEnd"/>
      <w:r>
        <w:t xml:space="preserve"> </w:t>
      </w:r>
      <w:proofErr w:type="spellStart"/>
      <w:r>
        <w:t>troškova</w:t>
      </w:r>
      <w:proofErr w:type="spellEnd"/>
      <w:r>
        <w:t xml:space="preserve"> </w:t>
      </w:r>
      <w:proofErr w:type="spellStart"/>
      <w:r>
        <w:t>plaća</w:t>
      </w:r>
      <w:proofErr w:type="spellEnd"/>
      <w:r>
        <w:t xml:space="preserve"> </w:t>
      </w:r>
      <w:proofErr w:type="spellStart"/>
      <w:r>
        <w:t>pomoćnika</w:t>
      </w:r>
      <w:proofErr w:type="spellEnd"/>
      <w:r>
        <w:t xml:space="preserve"> u </w:t>
      </w:r>
      <w:proofErr w:type="spellStart"/>
      <w:r>
        <w:t>nastavi</w:t>
      </w:r>
      <w:proofErr w:type="spellEnd"/>
      <w:r>
        <w:t xml:space="preserve">, </w:t>
      </w:r>
      <w:proofErr w:type="spellStart"/>
      <w:r>
        <w:t>što</w:t>
      </w:r>
      <w:proofErr w:type="spellEnd"/>
      <w:r>
        <w:t xml:space="preserve"> je </w:t>
      </w:r>
      <w:proofErr w:type="spellStart"/>
      <w:r>
        <w:t>posljedica</w:t>
      </w:r>
      <w:proofErr w:type="spellEnd"/>
      <w:r>
        <w:t xml:space="preserve"> </w:t>
      </w:r>
      <w:proofErr w:type="spellStart"/>
      <w:r>
        <w:t>većeg</w:t>
      </w:r>
      <w:proofErr w:type="spellEnd"/>
      <w:r>
        <w:t xml:space="preserve"> </w:t>
      </w:r>
      <w:proofErr w:type="spellStart"/>
      <w:r>
        <w:t>broja</w:t>
      </w:r>
      <w:proofErr w:type="spellEnd"/>
      <w:r>
        <w:t xml:space="preserve"> </w:t>
      </w:r>
      <w:proofErr w:type="spellStart"/>
      <w:r>
        <w:t>angažiranih</w:t>
      </w:r>
      <w:proofErr w:type="spellEnd"/>
      <w:r>
        <w:t xml:space="preserve"> </w:t>
      </w:r>
      <w:proofErr w:type="spellStart"/>
      <w:r>
        <w:t>pomoćnika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prethodnu</w:t>
      </w:r>
      <w:proofErr w:type="spellEnd"/>
      <w:r>
        <w:t xml:space="preserve"> </w:t>
      </w:r>
      <w:proofErr w:type="spellStart"/>
      <w:r>
        <w:t>godinu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ra</w:t>
      </w:r>
      <w:r>
        <w:t>sta</w:t>
      </w:r>
      <w:proofErr w:type="spellEnd"/>
      <w:r>
        <w:t xml:space="preserve"> </w:t>
      </w:r>
      <w:proofErr w:type="spellStart"/>
      <w:r>
        <w:t>bruto</w:t>
      </w:r>
      <w:proofErr w:type="spellEnd"/>
      <w:r>
        <w:t xml:space="preserve"> </w:t>
      </w:r>
      <w:proofErr w:type="spellStart"/>
      <w:r>
        <w:t>satnice</w:t>
      </w:r>
      <w:proofErr w:type="spellEnd"/>
      <w:r>
        <w:t xml:space="preserve"> za </w:t>
      </w:r>
      <w:proofErr w:type="spellStart"/>
      <w:r>
        <w:t>obračun</w:t>
      </w:r>
      <w:proofErr w:type="spellEnd"/>
      <w:r>
        <w:t xml:space="preserve"> </w:t>
      </w:r>
      <w:proofErr w:type="spellStart"/>
      <w:r>
        <w:t>njihovih</w:t>
      </w:r>
      <w:proofErr w:type="spellEnd"/>
      <w:r>
        <w:t xml:space="preserve"> </w:t>
      </w:r>
      <w:proofErr w:type="spellStart"/>
      <w:r>
        <w:t>plaća</w:t>
      </w:r>
      <w:proofErr w:type="spellEnd"/>
      <w:r>
        <w:t>.</w:t>
      </w:r>
    </w:p>
    <w:p w14:paraId="0B08B44B" w14:textId="77777777" w:rsidR="0092186F" w:rsidRDefault="00CD503B">
      <w:proofErr w:type="spellStart"/>
      <w:r>
        <w:t>Istodobno</w:t>
      </w:r>
      <w:proofErr w:type="spellEnd"/>
      <w:r>
        <w:t xml:space="preserve">, </w:t>
      </w:r>
      <w:proofErr w:type="spellStart"/>
      <w:r>
        <w:t>znatan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 </w:t>
      </w:r>
      <w:proofErr w:type="spellStart"/>
      <w:r>
        <w:t>ukupnih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</w:t>
      </w:r>
      <w:proofErr w:type="spellStart"/>
      <w:r>
        <w:t>odnosi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ulaganja</w:t>
      </w:r>
      <w:proofErr w:type="spellEnd"/>
      <w:r>
        <w:t xml:space="preserve"> </w:t>
      </w:r>
      <w:proofErr w:type="spellStart"/>
      <w:r>
        <w:t>realizirana</w:t>
      </w:r>
      <w:proofErr w:type="spellEnd"/>
      <w:r>
        <w:t xml:space="preserve"> u </w:t>
      </w:r>
      <w:proofErr w:type="spellStart"/>
      <w:r>
        <w:t>okviru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Nacionalnog</w:t>
      </w:r>
      <w:proofErr w:type="spellEnd"/>
      <w:r>
        <w:t xml:space="preserve"> plana </w:t>
      </w:r>
      <w:proofErr w:type="spellStart"/>
      <w:r>
        <w:t>oporavka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otpornosti</w:t>
      </w:r>
      <w:proofErr w:type="spellEnd"/>
      <w:r>
        <w:t xml:space="preserve"> (NPOO),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obuhvaćaju</w:t>
      </w:r>
      <w:proofErr w:type="spellEnd"/>
      <w:r>
        <w:t xml:space="preserve"> </w:t>
      </w:r>
      <w:proofErr w:type="spellStart"/>
      <w:r>
        <w:t>uređenje</w:t>
      </w:r>
      <w:proofErr w:type="spellEnd"/>
      <w:r>
        <w:t xml:space="preserve"> </w:t>
      </w:r>
      <w:proofErr w:type="spellStart"/>
      <w:r>
        <w:t>učionica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sportske</w:t>
      </w:r>
      <w:proofErr w:type="spellEnd"/>
      <w:r>
        <w:t xml:space="preserve"> </w:t>
      </w:r>
      <w:proofErr w:type="spellStart"/>
      <w:r>
        <w:t>dvorane</w:t>
      </w:r>
      <w:proofErr w:type="spellEnd"/>
      <w:r>
        <w:t xml:space="preserve">. </w:t>
      </w:r>
      <w:proofErr w:type="spellStart"/>
      <w:r>
        <w:t>Navedena</w:t>
      </w:r>
      <w:proofErr w:type="spellEnd"/>
      <w:r>
        <w:t xml:space="preserve"> </w:t>
      </w:r>
      <w:proofErr w:type="spellStart"/>
      <w:r>
        <w:t>ulaganj</w:t>
      </w:r>
      <w:r>
        <w:t>a</w:t>
      </w:r>
      <w:proofErr w:type="spellEnd"/>
      <w:r>
        <w:t xml:space="preserve"> </w:t>
      </w:r>
      <w:proofErr w:type="spellStart"/>
      <w:r>
        <w:t>rezultirala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povećanjem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za </w:t>
      </w:r>
      <w:proofErr w:type="spellStart"/>
      <w:r>
        <w:t>ulaganja</w:t>
      </w:r>
      <w:proofErr w:type="spellEnd"/>
      <w:r>
        <w:t xml:space="preserve"> u </w:t>
      </w:r>
      <w:proofErr w:type="spellStart"/>
      <w:r>
        <w:t>građevinske</w:t>
      </w:r>
      <w:proofErr w:type="spellEnd"/>
      <w:r>
        <w:t xml:space="preserve"> </w:t>
      </w:r>
      <w:proofErr w:type="spellStart"/>
      <w:r>
        <w:t>objekte</w:t>
      </w:r>
      <w:proofErr w:type="spellEnd"/>
      <w:r>
        <w:t xml:space="preserve">, </w:t>
      </w:r>
      <w:proofErr w:type="spellStart"/>
      <w:r>
        <w:t>izradu</w:t>
      </w:r>
      <w:proofErr w:type="spellEnd"/>
      <w:r>
        <w:t xml:space="preserve"> </w:t>
      </w:r>
      <w:proofErr w:type="spellStart"/>
      <w:r>
        <w:t>projektne</w:t>
      </w:r>
      <w:proofErr w:type="spellEnd"/>
      <w:r>
        <w:t xml:space="preserve"> </w:t>
      </w:r>
      <w:proofErr w:type="spellStart"/>
      <w:r>
        <w:t>dokumentacije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provedbu</w:t>
      </w:r>
      <w:proofErr w:type="spellEnd"/>
      <w:r>
        <w:t xml:space="preserve"> </w:t>
      </w:r>
      <w:proofErr w:type="spellStart"/>
      <w:r>
        <w:t>dodatnih</w:t>
      </w:r>
      <w:proofErr w:type="spellEnd"/>
      <w:r>
        <w:t xml:space="preserve"> </w:t>
      </w:r>
      <w:proofErr w:type="spellStart"/>
      <w:r>
        <w:t>hitnih</w:t>
      </w:r>
      <w:proofErr w:type="spellEnd"/>
      <w:r>
        <w:t xml:space="preserve"> </w:t>
      </w:r>
      <w:proofErr w:type="spellStart"/>
      <w:r>
        <w:t>intervencija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objektu</w:t>
      </w:r>
      <w:proofErr w:type="spellEnd"/>
      <w:r>
        <w:t xml:space="preserve"> </w:t>
      </w:r>
      <w:proofErr w:type="spellStart"/>
      <w:r>
        <w:t>škole</w:t>
      </w:r>
      <w:proofErr w:type="spellEnd"/>
      <w:r>
        <w:t>.</w:t>
      </w:r>
    </w:p>
    <w:p w14:paraId="67F963DB" w14:textId="77777777" w:rsidR="0092186F" w:rsidRDefault="0092186F"/>
    <w:p w14:paraId="6578B4C1" w14:textId="77777777" w:rsidR="0092186F" w:rsidRDefault="00CD503B">
      <w:pPr>
        <w:keepNext/>
        <w:spacing w:line="240" w:lineRule="auto"/>
        <w:jc w:val="center"/>
      </w:pPr>
      <w:proofErr w:type="spellStart"/>
      <w:r>
        <w:rPr>
          <w:b/>
          <w:sz w:val="28"/>
        </w:rPr>
        <w:t>Promjene</w:t>
      </w:r>
      <w:proofErr w:type="spellEnd"/>
      <w:r>
        <w:rPr>
          <w:b/>
          <w:sz w:val="28"/>
        </w:rPr>
        <w:t xml:space="preserve"> u </w:t>
      </w:r>
      <w:proofErr w:type="spellStart"/>
      <w:r>
        <w:rPr>
          <w:b/>
          <w:sz w:val="28"/>
        </w:rPr>
        <w:t>vrijednosti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obujmu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imovine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obveza</w:t>
      </w:r>
      <w:proofErr w:type="spellEnd"/>
    </w:p>
    <w:p w14:paraId="62BB350A" w14:textId="77777777" w:rsidR="0092186F" w:rsidRDefault="00CD503B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2186F" w14:paraId="2852A2C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EEB42C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82D945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D60B5F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7F3D82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Iznos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povećanja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67AA0D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Iznos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smanjenja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F37815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2186F" w14:paraId="5FB3A1A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3BB4BE" w14:textId="77777777" w:rsidR="0092186F" w:rsidRDefault="0092186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E918795" w14:textId="77777777" w:rsidR="0092186F" w:rsidRDefault="00CD503B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Proizvedena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dugotrajna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0B3F91" w14:textId="77777777" w:rsidR="0092186F" w:rsidRDefault="00CD50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924863" w14:textId="77777777" w:rsidR="0092186F" w:rsidRDefault="00CD50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EFC5F8" w14:textId="77777777" w:rsidR="0092186F" w:rsidRDefault="00CD50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32.156,78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8AAA4A" w14:textId="77777777" w:rsidR="0092186F" w:rsidRDefault="00CD50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94CD25E" w14:textId="77777777" w:rsidR="0092186F" w:rsidRDefault="0092186F">
      <w:pPr>
        <w:spacing w:after="0"/>
      </w:pPr>
    </w:p>
    <w:p w14:paraId="632F260E" w14:textId="77777777" w:rsidR="0092186F" w:rsidRDefault="00CD503B">
      <w:proofErr w:type="spellStart"/>
      <w:r>
        <w:t>Iskazano</w:t>
      </w:r>
      <w:proofErr w:type="spellEnd"/>
      <w:r>
        <w:t xml:space="preserve"> je </w:t>
      </w:r>
      <w:proofErr w:type="spellStart"/>
      <w:r>
        <w:t>smanjenje</w:t>
      </w:r>
      <w:proofErr w:type="spellEnd"/>
      <w:r>
        <w:t xml:space="preserve"> </w:t>
      </w:r>
      <w:proofErr w:type="spellStart"/>
      <w:r>
        <w:t>nefinancijske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32.156,78 EUR </w:t>
      </w:r>
      <w:proofErr w:type="spellStart"/>
      <w:r>
        <w:t>kao</w:t>
      </w:r>
      <w:proofErr w:type="spellEnd"/>
      <w:r>
        <w:t xml:space="preserve"> </w:t>
      </w:r>
      <w:proofErr w:type="spellStart"/>
      <w:r>
        <w:t>rezultat</w:t>
      </w:r>
      <w:proofErr w:type="spellEnd"/>
      <w:r>
        <w:t xml:space="preserve"> </w:t>
      </w:r>
      <w:proofErr w:type="spellStart"/>
      <w:r>
        <w:t>evidentiranja</w:t>
      </w:r>
      <w:proofErr w:type="spellEnd"/>
      <w:r>
        <w:t xml:space="preserve"> </w:t>
      </w:r>
      <w:proofErr w:type="spellStart"/>
      <w:r>
        <w:t>amortizacije</w:t>
      </w:r>
      <w:proofErr w:type="spellEnd"/>
      <w:r>
        <w:t>.</w:t>
      </w:r>
    </w:p>
    <w:p w14:paraId="22D3D2FC" w14:textId="77777777" w:rsidR="0092186F" w:rsidRDefault="0092186F"/>
    <w:p w14:paraId="3351D69A" w14:textId="77777777" w:rsidR="0092186F" w:rsidRDefault="00CD503B">
      <w:pPr>
        <w:keepNext/>
        <w:spacing w:line="240" w:lineRule="auto"/>
        <w:jc w:val="center"/>
      </w:pPr>
      <w:proofErr w:type="spellStart"/>
      <w:r>
        <w:rPr>
          <w:b/>
          <w:sz w:val="28"/>
        </w:rPr>
        <w:t>Izvještaj</w:t>
      </w:r>
      <w:proofErr w:type="spellEnd"/>
      <w:r>
        <w:rPr>
          <w:b/>
          <w:sz w:val="28"/>
        </w:rPr>
        <w:t xml:space="preserve"> o </w:t>
      </w:r>
      <w:proofErr w:type="spellStart"/>
      <w:r>
        <w:rPr>
          <w:b/>
          <w:sz w:val="28"/>
        </w:rPr>
        <w:t>obvezama</w:t>
      </w:r>
      <w:proofErr w:type="spellEnd"/>
    </w:p>
    <w:p w14:paraId="65A2AF9B" w14:textId="77777777" w:rsidR="0092186F" w:rsidRDefault="00CD503B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92186F" w14:paraId="34D866C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37A919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5EEB1D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6E98DF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EB549E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Iznos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19EE51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2186F" w14:paraId="0100E78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EABEF8" w14:textId="77777777" w:rsidR="0092186F" w:rsidRDefault="0092186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4AD2D87" w14:textId="77777777" w:rsidR="0092186F" w:rsidRDefault="00CD503B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Stanje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obveza</w:t>
            </w:r>
            <w:proofErr w:type="spellEnd"/>
            <w:r>
              <w:rPr>
                <w:sz w:val="18"/>
              </w:rPr>
              <w:t xml:space="preserve"> 1. </w:t>
            </w:r>
            <w:proofErr w:type="spellStart"/>
            <w:r>
              <w:rPr>
                <w:sz w:val="18"/>
              </w:rPr>
              <w:t>siječnja</w:t>
            </w:r>
            <w:proofErr w:type="spellEnd"/>
            <w:r>
              <w:rPr>
                <w:sz w:val="18"/>
              </w:rPr>
              <w:t xml:space="preserve"> (=</w:t>
            </w:r>
            <w:proofErr w:type="spellStart"/>
            <w:r>
              <w:rPr>
                <w:sz w:val="18"/>
              </w:rPr>
              <w:t>stanju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obveza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Izvještaja</w:t>
            </w:r>
            <w:proofErr w:type="spellEnd"/>
            <w:r>
              <w:rPr>
                <w:sz w:val="18"/>
              </w:rPr>
              <w:t xml:space="preserve"> o </w:t>
            </w:r>
            <w:proofErr w:type="spellStart"/>
            <w:r>
              <w:rPr>
                <w:sz w:val="18"/>
              </w:rPr>
              <w:t>obvezama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31. </w:t>
            </w:r>
            <w:proofErr w:type="spellStart"/>
            <w:r>
              <w:rPr>
                <w:sz w:val="18"/>
              </w:rPr>
              <w:t>prosinca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prethodne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godine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B84A38" w14:textId="77777777" w:rsidR="0092186F" w:rsidRDefault="00CD50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040654" w14:textId="77777777" w:rsidR="0092186F" w:rsidRDefault="00CD50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171.473,65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73C95D" w14:textId="77777777" w:rsidR="0092186F" w:rsidRDefault="00CD50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ABDF6F0" w14:textId="77777777" w:rsidR="0092186F" w:rsidRDefault="0092186F">
      <w:pPr>
        <w:spacing w:after="0"/>
      </w:pPr>
    </w:p>
    <w:p w14:paraId="04B71C13" w14:textId="77777777" w:rsidR="0092186F" w:rsidRDefault="00CD503B">
      <w:proofErr w:type="spellStart"/>
      <w:r>
        <w:t>Stanje</w:t>
      </w:r>
      <w:proofErr w:type="spellEnd"/>
      <w:r>
        <w:t xml:space="preserve"> </w:t>
      </w:r>
      <w:proofErr w:type="spellStart"/>
      <w:r>
        <w:t>obveza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dan 1. </w:t>
      </w:r>
      <w:proofErr w:type="spellStart"/>
      <w:r>
        <w:t>siječnja</w:t>
      </w:r>
      <w:proofErr w:type="spellEnd"/>
      <w:r>
        <w:t xml:space="preserve"> 2025. </w:t>
      </w:r>
      <w:proofErr w:type="spellStart"/>
      <w:r>
        <w:t>godine</w:t>
      </w:r>
      <w:proofErr w:type="spellEnd"/>
      <w:r>
        <w:t xml:space="preserve">, u </w:t>
      </w:r>
      <w:proofErr w:type="spellStart"/>
      <w:r>
        <w:t>iznosu</w:t>
      </w:r>
      <w:proofErr w:type="spellEnd"/>
      <w:r>
        <w:t xml:space="preserve"> od 171.473,65 EUR, </w:t>
      </w:r>
      <w:proofErr w:type="spellStart"/>
      <w:r>
        <w:t>odnosi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nepodmirene</w:t>
      </w:r>
      <w:proofErr w:type="spellEnd"/>
      <w:r>
        <w:t xml:space="preserve"> </w:t>
      </w:r>
      <w:proofErr w:type="spellStart"/>
      <w:r>
        <w:t>obveze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prethodne</w:t>
      </w:r>
      <w:proofErr w:type="spellEnd"/>
      <w:r>
        <w:t xml:space="preserve"> </w:t>
      </w:r>
      <w:proofErr w:type="spellStart"/>
      <w:r>
        <w:t>proračunske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prenesene</w:t>
      </w:r>
      <w:proofErr w:type="spellEnd"/>
      <w:r>
        <w:t xml:space="preserve"> u 2025. </w:t>
      </w:r>
      <w:proofErr w:type="spellStart"/>
      <w:r>
        <w:t>godinu</w:t>
      </w:r>
      <w:proofErr w:type="spellEnd"/>
      <w:r>
        <w:t xml:space="preserve">. </w:t>
      </w:r>
      <w:proofErr w:type="spellStart"/>
      <w:r>
        <w:t>Navedene</w:t>
      </w:r>
      <w:proofErr w:type="spellEnd"/>
      <w:r>
        <w:t xml:space="preserve"> </w:t>
      </w:r>
      <w:proofErr w:type="spellStart"/>
      <w:r>
        <w:t>obveze</w:t>
      </w:r>
      <w:proofErr w:type="spellEnd"/>
      <w:r>
        <w:t xml:space="preserve"> </w:t>
      </w:r>
      <w:proofErr w:type="spellStart"/>
      <w:r>
        <w:t>najvećim</w:t>
      </w:r>
      <w:proofErr w:type="spellEnd"/>
      <w:r>
        <w:t xml:space="preserve"> se </w:t>
      </w:r>
      <w:proofErr w:type="spellStart"/>
      <w:r>
        <w:t>dijelom</w:t>
      </w:r>
      <w:proofErr w:type="spellEnd"/>
      <w:r>
        <w:t xml:space="preserve">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neisplaćenu</w:t>
      </w:r>
      <w:proofErr w:type="spellEnd"/>
      <w:r>
        <w:t xml:space="preserve"> </w:t>
      </w:r>
      <w:proofErr w:type="spellStart"/>
      <w:r>
        <w:t>plaću</w:t>
      </w:r>
      <w:proofErr w:type="spellEnd"/>
      <w:r>
        <w:t xml:space="preserve"> za </w:t>
      </w:r>
      <w:proofErr w:type="spellStart"/>
      <w:r>
        <w:t>prosinac</w:t>
      </w:r>
      <w:proofErr w:type="spellEnd"/>
      <w:r>
        <w:t xml:space="preserve"> 2024. </w:t>
      </w:r>
      <w:proofErr w:type="spellStart"/>
      <w:r>
        <w:t>g</w:t>
      </w:r>
      <w:r>
        <w:t>odine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materijalne</w:t>
      </w:r>
      <w:proofErr w:type="spellEnd"/>
      <w:r>
        <w:t xml:space="preserve"> </w:t>
      </w:r>
      <w:proofErr w:type="spellStart"/>
      <w:r>
        <w:t>rashode</w:t>
      </w:r>
      <w:proofErr w:type="spellEnd"/>
      <w:r>
        <w:t xml:space="preserve"> </w:t>
      </w:r>
      <w:proofErr w:type="spellStart"/>
      <w:r>
        <w:t>nastale</w:t>
      </w:r>
      <w:proofErr w:type="spellEnd"/>
      <w:r>
        <w:t xml:space="preserve"> u </w:t>
      </w:r>
      <w:proofErr w:type="spellStart"/>
      <w:r>
        <w:t>prosincu</w:t>
      </w:r>
      <w:proofErr w:type="spellEnd"/>
      <w:r>
        <w:t xml:space="preserve"> </w:t>
      </w:r>
      <w:proofErr w:type="spellStart"/>
      <w:r>
        <w:t>prethodne</w:t>
      </w:r>
      <w:proofErr w:type="spellEnd"/>
      <w:r>
        <w:t xml:space="preserve"> </w:t>
      </w:r>
      <w:proofErr w:type="spellStart"/>
      <w:r>
        <w:t>godine</w:t>
      </w:r>
      <w:proofErr w:type="spellEnd"/>
      <w:r>
        <w:t>.</w:t>
      </w:r>
    </w:p>
    <w:p w14:paraId="7FBCBD6F" w14:textId="77777777" w:rsidR="0092186F" w:rsidRDefault="0092186F"/>
    <w:p w14:paraId="06BC3A2F" w14:textId="77777777" w:rsidR="0092186F" w:rsidRDefault="00CD503B">
      <w:pPr>
        <w:keepNext/>
        <w:spacing w:line="240" w:lineRule="auto"/>
        <w:jc w:val="center"/>
      </w:pPr>
      <w:proofErr w:type="spellStart"/>
      <w:r>
        <w:rPr>
          <w:sz w:val="28"/>
        </w:rPr>
        <w:lastRenderedPageBreak/>
        <w:t>Bilješka</w:t>
      </w:r>
      <w:proofErr w:type="spellEnd"/>
      <w:r>
        <w:rPr>
          <w:sz w:val="28"/>
        </w:rPr>
        <w:t xml:space="preserve">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92186F" w14:paraId="79A6762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10D9B0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7C331D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C1DB3E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04AF18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Iznos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BDEFD5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2186F" w14:paraId="20FDCCA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0E9FDB" w14:textId="77777777" w:rsidR="0092186F" w:rsidRDefault="0092186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6175108" w14:textId="77777777" w:rsidR="0092186F" w:rsidRDefault="00CD503B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Stanje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dospjelih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obveza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kraju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izvještajnog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razdoblja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V008+D23+D24 + 'D </w:t>
            </w:r>
            <w:proofErr w:type="spellStart"/>
            <w:r>
              <w:rPr>
                <w:sz w:val="18"/>
              </w:rPr>
              <w:t>dio</w:t>
            </w:r>
            <w:proofErr w:type="spellEnd"/>
            <w:r>
              <w:rPr>
                <w:sz w:val="18"/>
              </w:rPr>
              <w:t xml:space="preserve">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8C436D" w14:textId="77777777" w:rsidR="0092186F" w:rsidRDefault="00CD50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037AD0" w14:textId="77777777" w:rsidR="0092186F" w:rsidRDefault="00CD50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8B6064" w14:textId="77777777" w:rsidR="0092186F" w:rsidRDefault="00CD50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3A0BA92" w14:textId="77777777" w:rsidR="0092186F" w:rsidRDefault="0092186F">
      <w:pPr>
        <w:spacing w:after="0"/>
      </w:pPr>
    </w:p>
    <w:p w14:paraId="08224AB5" w14:textId="77777777" w:rsidR="0092186F" w:rsidRDefault="00CD503B">
      <w:proofErr w:type="spellStart"/>
      <w:r>
        <w:t>Škola</w:t>
      </w:r>
      <w:proofErr w:type="spellEnd"/>
      <w:r>
        <w:t xml:space="preserve"> </w:t>
      </w:r>
      <w:proofErr w:type="spellStart"/>
      <w:r>
        <w:t>nema</w:t>
      </w:r>
      <w:proofErr w:type="spellEnd"/>
      <w:r>
        <w:t xml:space="preserve"> </w:t>
      </w:r>
      <w:proofErr w:type="spellStart"/>
      <w:r>
        <w:t>dospjelih</w:t>
      </w:r>
      <w:proofErr w:type="spellEnd"/>
      <w:r>
        <w:t xml:space="preserve"> </w:t>
      </w:r>
      <w:proofErr w:type="spellStart"/>
      <w:r>
        <w:t>obaveza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kraju</w:t>
      </w:r>
      <w:proofErr w:type="spellEnd"/>
      <w:r>
        <w:t xml:space="preserve"> </w:t>
      </w:r>
      <w:proofErr w:type="spellStart"/>
      <w:r>
        <w:t>izvještajnog</w:t>
      </w:r>
      <w:proofErr w:type="spellEnd"/>
      <w:r>
        <w:t xml:space="preserve"> </w:t>
      </w:r>
      <w:proofErr w:type="spellStart"/>
      <w:r>
        <w:t>razdoblja</w:t>
      </w:r>
      <w:proofErr w:type="spellEnd"/>
      <w:r>
        <w:t>. </w:t>
      </w:r>
    </w:p>
    <w:p w14:paraId="2698C92A" w14:textId="77777777" w:rsidR="0092186F" w:rsidRDefault="0092186F"/>
    <w:p w14:paraId="4E6A07B4" w14:textId="77777777" w:rsidR="0092186F" w:rsidRDefault="00CD503B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92186F" w14:paraId="217457A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B66E1D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AB33AF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EAC905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2E95D1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Iznos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3633F7" w14:textId="77777777" w:rsidR="0092186F" w:rsidRDefault="00CD503B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92186F" w14:paraId="67D33FC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549CF5" w14:textId="77777777" w:rsidR="0092186F" w:rsidRDefault="0092186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4162850" w14:textId="77777777" w:rsidR="0092186F" w:rsidRDefault="00CD503B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Stanje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nedospjelih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obveza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kraju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izvještajnog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razdoblja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V010 + ND23 + ND24 + 'ND </w:t>
            </w:r>
            <w:proofErr w:type="spellStart"/>
            <w:r>
              <w:rPr>
                <w:sz w:val="18"/>
              </w:rPr>
              <w:t>dio</w:t>
            </w:r>
            <w:proofErr w:type="spellEnd"/>
            <w:r>
              <w:rPr>
                <w:sz w:val="18"/>
              </w:rPr>
              <w:t xml:space="preserve">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155F93" w14:textId="77777777" w:rsidR="0092186F" w:rsidRDefault="00CD50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00746D" w14:textId="77777777" w:rsidR="0092186F" w:rsidRDefault="00CD50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213.035,23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7F5457" w14:textId="77777777" w:rsidR="0092186F" w:rsidRDefault="00CD50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E43B680" w14:textId="77777777" w:rsidR="0092186F" w:rsidRDefault="0092186F">
      <w:pPr>
        <w:spacing w:after="0"/>
      </w:pPr>
    </w:p>
    <w:p w14:paraId="76BD1F38" w14:textId="77777777" w:rsidR="0092186F" w:rsidRDefault="00CD503B">
      <w:proofErr w:type="spellStart"/>
      <w:r>
        <w:t>Iznos</w:t>
      </w:r>
      <w:proofErr w:type="spellEnd"/>
      <w:r>
        <w:t xml:space="preserve"> se </w:t>
      </w:r>
      <w:proofErr w:type="spellStart"/>
      <w:r>
        <w:t>odnosi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obveze</w:t>
      </w:r>
      <w:proofErr w:type="spellEnd"/>
      <w:r>
        <w:t xml:space="preserve"> za </w:t>
      </w:r>
      <w:proofErr w:type="spellStart"/>
      <w:r>
        <w:t>bruto</w:t>
      </w:r>
      <w:proofErr w:type="spellEnd"/>
      <w:r>
        <w:t xml:space="preserve"> </w:t>
      </w:r>
      <w:proofErr w:type="spellStart"/>
      <w:r>
        <w:t>plaće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doprinose</w:t>
      </w:r>
      <w:proofErr w:type="spellEnd"/>
      <w:r>
        <w:t xml:space="preserve"> </w:t>
      </w:r>
      <w:proofErr w:type="spellStart"/>
      <w:r>
        <w:t>zaposlenika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za 12/2025, a </w:t>
      </w:r>
      <w:proofErr w:type="spellStart"/>
      <w:r>
        <w:t>čija</w:t>
      </w:r>
      <w:proofErr w:type="spellEnd"/>
      <w:r>
        <w:t xml:space="preserve"> je </w:t>
      </w:r>
      <w:proofErr w:type="spellStart"/>
      <w:r>
        <w:t>očekivana</w:t>
      </w:r>
      <w:proofErr w:type="spellEnd"/>
      <w:r>
        <w:t xml:space="preserve"> </w:t>
      </w:r>
      <w:proofErr w:type="spellStart"/>
      <w:r>
        <w:t>isplata</w:t>
      </w:r>
      <w:proofErr w:type="spellEnd"/>
      <w:r>
        <w:t xml:space="preserve"> u </w:t>
      </w:r>
      <w:proofErr w:type="spellStart"/>
      <w:r>
        <w:t>siječnju</w:t>
      </w:r>
      <w:proofErr w:type="spellEnd"/>
      <w:r>
        <w:t xml:space="preserve"> 2026., </w:t>
      </w:r>
      <w:proofErr w:type="spellStart"/>
      <w:r>
        <w:t>te</w:t>
      </w:r>
      <w:proofErr w:type="spellEnd"/>
      <w:r>
        <w:t xml:space="preserve"> za </w:t>
      </w:r>
      <w:proofErr w:type="spellStart"/>
      <w:r>
        <w:t>isplatu</w:t>
      </w:r>
      <w:proofErr w:type="spellEnd"/>
      <w:r>
        <w:t xml:space="preserve"> </w:t>
      </w:r>
      <w:proofErr w:type="spellStart"/>
      <w:r>
        <w:t>plaće</w:t>
      </w:r>
      <w:proofErr w:type="spellEnd"/>
      <w:r>
        <w:t xml:space="preserve"> </w:t>
      </w:r>
      <w:proofErr w:type="spellStart"/>
      <w:r>
        <w:t>pomoćnicima</w:t>
      </w:r>
      <w:proofErr w:type="spellEnd"/>
      <w:r>
        <w:t xml:space="preserve"> u </w:t>
      </w:r>
      <w:proofErr w:type="spellStart"/>
      <w:r>
        <w:t>nastavi</w:t>
      </w:r>
      <w:proofErr w:type="spellEnd"/>
      <w:r>
        <w:t xml:space="preserve"> u </w:t>
      </w:r>
      <w:proofErr w:type="spellStart"/>
      <w:r>
        <w:t>ukupnom</w:t>
      </w:r>
      <w:proofErr w:type="spellEnd"/>
      <w:r>
        <w:t xml:space="preserve"> </w:t>
      </w:r>
      <w:proofErr w:type="spellStart"/>
      <w:r>
        <w:t>iznosu</w:t>
      </w:r>
      <w:proofErr w:type="spellEnd"/>
      <w:r>
        <w:t xml:space="preserve"> od 189.587,23 EUR.</w:t>
      </w:r>
    </w:p>
    <w:p w14:paraId="50639590" w14:textId="77777777" w:rsidR="0092186F" w:rsidRDefault="00CD503B">
      <w:proofErr w:type="spellStart"/>
      <w:r>
        <w:t>Škola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obvezu</w:t>
      </w:r>
      <w:proofErr w:type="spellEnd"/>
      <w:r>
        <w:t xml:space="preserve"> za </w:t>
      </w:r>
      <w:proofErr w:type="spellStart"/>
      <w:r>
        <w:t>materijalne</w:t>
      </w:r>
      <w:proofErr w:type="spellEnd"/>
      <w:r>
        <w:t xml:space="preserve"> </w:t>
      </w:r>
      <w:proofErr w:type="spellStart"/>
      <w:r>
        <w:t>rashode</w:t>
      </w:r>
      <w:proofErr w:type="spellEnd"/>
      <w:r>
        <w:t xml:space="preserve"> </w:t>
      </w:r>
      <w:proofErr w:type="spellStart"/>
      <w:r>
        <w:t>naknade</w:t>
      </w:r>
      <w:proofErr w:type="spellEnd"/>
      <w:r>
        <w:t xml:space="preserve"> z</w:t>
      </w:r>
      <w:r>
        <w:t xml:space="preserve">a </w:t>
      </w:r>
      <w:proofErr w:type="spellStart"/>
      <w:r>
        <w:t>prijevoz</w:t>
      </w:r>
      <w:proofErr w:type="spellEnd"/>
      <w:r>
        <w:t xml:space="preserve">, </w:t>
      </w:r>
      <w:proofErr w:type="spellStart"/>
      <w:r>
        <w:t>električne</w:t>
      </w:r>
      <w:proofErr w:type="spellEnd"/>
      <w:r>
        <w:t xml:space="preserve"> </w:t>
      </w:r>
      <w:proofErr w:type="spellStart"/>
      <w:r>
        <w:t>energije</w:t>
      </w:r>
      <w:proofErr w:type="spellEnd"/>
      <w:r>
        <w:t xml:space="preserve">, </w:t>
      </w:r>
      <w:proofErr w:type="spellStart"/>
      <w:r>
        <w:t>komunalnih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, </w:t>
      </w:r>
      <w:proofErr w:type="spellStart"/>
      <w:r>
        <w:t>usluga</w:t>
      </w:r>
      <w:proofErr w:type="spellEnd"/>
      <w:r>
        <w:t xml:space="preserve"> </w:t>
      </w:r>
      <w:proofErr w:type="spellStart"/>
      <w:r>
        <w:t>troškova</w:t>
      </w:r>
      <w:proofErr w:type="spellEnd"/>
      <w:r>
        <w:t xml:space="preserve"> </w:t>
      </w:r>
      <w:proofErr w:type="spellStart"/>
      <w:r>
        <w:t>telefona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ostale</w:t>
      </w:r>
      <w:proofErr w:type="spellEnd"/>
      <w:r>
        <w:t xml:space="preserve"> </w:t>
      </w:r>
      <w:proofErr w:type="spellStart"/>
      <w:r>
        <w:t>tekuće</w:t>
      </w:r>
      <w:proofErr w:type="spellEnd"/>
      <w:r>
        <w:t xml:space="preserve"> </w:t>
      </w:r>
      <w:proofErr w:type="spellStart"/>
      <w:r>
        <w:t>obveze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8.668,80 EUR </w:t>
      </w:r>
      <w:proofErr w:type="spellStart"/>
      <w:r>
        <w:t>čija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isplata</w:t>
      </w:r>
      <w:proofErr w:type="spellEnd"/>
      <w:r>
        <w:t xml:space="preserve"> </w:t>
      </w:r>
      <w:proofErr w:type="spellStart"/>
      <w:r>
        <w:t>također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izvršena</w:t>
      </w:r>
      <w:proofErr w:type="spellEnd"/>
      <w:r>
        <w:t xml:space="preserve"> </w:t>
      </w:r>
      <w:proofErr w:type="spellStart"/>
      <w:r>
        <w:t>tijekom</w:t>
      </w:r>
      <w:proofErr w:type="spellEnd"/>
      <w:r>
        <w:t xml:space="preserve"> </w:t>
      </w:r>
      <w:proofErr w:type="spellStart"/>
      <w:r>
        <w:t>siječnja</w:t>
      </w:r>
      <w:proofErr w:type="spellEnd"/>
      <w:r>
        <w:t>. </w:t>
      </w:r>
      <w:proofErr w:type="spellStart"/>
      <w:r>
        <w:t>Nadalje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obvezu</w:t>
      </w:r>
      <w:proofErr w:type="spellEnd"/>
      <w:r>
        <w:t xml:space="preserve"> za EU </w:t>
      </w:r>
      <w:proofErr w:type="spellStart"/>
      <w:r>
        <w:t>predujmove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državnog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14</w:t>
      </w:r>
      <w:r>
        <w:t>.779,20 EUR. </w:t>
      </w:r>
    </w:p>
    <w:p w14:paraId="176D96A6" w14:textId="77777777" w:rsidR="0092186F" w:rsidRDefault="00CD503B">
      <w:r>
        <w:t> </w:t>
      </w:r>
    </w:p>
    <w:p w14:paraId="62390FE8" w14:textId="77777777" w:rsidR="0092186F" w:rsidRDefault="0092186F"/>
    <w:p w14:paraId="42241A90" w14:textId="77777777" w:rsidR="0092186F" w:rsidRDefault="00CD503B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27.</w:t>
      </w:r>
    </w:p>
    <w:p w14:paraId="7E1BD3A3" w14:textId="77777777" w:rsidR="0092186F" w:rsidRDefault="00CD503B">
      <w:pPr>
        <w:spacing w:line="240" w:lineRule="auto"/>
        <w:jc w:val="both"/>
      </w:pPr>
      <w:r>
        <w:rPr>
          <w:b/>
        </w:rPr>
        <w:t xml:space="preserve">EU </w:t>
      </w:r>
      <w:proofErr w:type="spellStart"/>
      <w:r>
        <w:rPr>
          <w:b/>
        </w:rPr>
        <w:t>izvještaj</w:t>
      </w:r>
      <w:proofErr w:type="spellEnd"/>
    </w:p>
    <w:p w14:paraId="0C92FF71" w14:textId="77777777" w:rsidR="0092186F" w:rsidRDefault="00CD503B">
      <w:proofErr w:type="spellStart"/>
      <w:r>
        <w:t>Prema</w:t>
      </w:r>
      <w:proofErr w:type="spellEnd"/>
      <w:r>
        <w:t xml:space="preserve"> </w:t>
      </w:r>
      <w:proofErr w:type="spellStart"/>
      <w:r>
        <w:t>Ugovoru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dodjeli</w:t>
      </w:r>
      <w:proofErr w:type="spellEnd"/>
      <w:r>
        <w:t xml:space="preserve"> </w:t>
      </w:r>
      <w:proofErr w:type="spellStart"/>
      <w:r>
        <w:t>bespovratnih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za program Erasmus </w:t>
      </w:r>
      <w:proofErr w:type="spellStart"/>
      <w:r>
        <w:t>Projekta</w:t>
      </w:r>
      <w:proofErr w:type="spellEnd"/>
      <w:r>
        <w:t xml:space="preserve"> 2025-1-HR01-KA122-SCH-000343891 </w:t>
      </w:r>
      <w:proofErr w:type="spellStart"/>
      <w:r>
        <w:t>između</w:t>
      </w:r>
      <w:proofErr w:type="spellEnd"/>
      <w:r>
        <w:t xml:space="preserve"> </w:t>
      </w:r>
      <w:proofErr w:type="spellStart"/>
      <w:r>
        <w:t>Agencije</w:t>
      </w:r>
      <w:proofErr w:type="spellEnd"/>
      <w:r>
        <w:t xml:space="preserve"> za </w:t>
      </w:r>
      <w:proofErr w:type="spellStart"/>
      <w:r>
        <w:t>mobilnost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programe</w:t>
      </w:r>
      <w:proofErr w:type="spellEnd"/>
      <w:r>
        <w:t xml:space="preserve"> EU </w:t>
      </w:r>
      <w:proofErr w:type="spellStart"/>
      <w:r>
        <w:t>i</w:t>
      </w:r>
      <w:proofErr w:type="spellEnd"/>
      <w:r>
        <w:t xml:space="preserve"> </w:t>
      </w:r>
      <w:proofErr w:type="spellStart"/>
      <w:r>
        <w:t>Ekonomsko-birotehničke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trgovačke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Zadar, </w:t>
      </w:r>
      <w:proofErr w:type="spellStart"/>
      <w:r>
        <w:t>Ekonomsko-bir</w:t>
      </w:r>
      <w:r>
        <w:t>otehnička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trgovačka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Zadar </w:t>
      </w:r>
      <w:proofErr w:type="spellStart"/>
      <w:r>
        <w:t>zaprimila</w:t>
      </w:r>
      <w:proofErr w:type="spellEnd"/>
      <w:r>
        <w:t xml:space="preserve"> je dana 10.07.2025. </w:t>
      </w:r>
      <w:proofErr w:type="spellStart"/>
      <w:r>
        <w:t>predujam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14.779,20 EUR. </w:t>
      </w:r>
      <w:proofErr w:type="spellStart"/>
      <w:r>
        <w:t>Navedeno</w:t>
      </w:r>
      <w:proofErr w:type="spellEnd"/>
      <w:r>
        <w:t xml:space="preserve"> </w:t>
      </w:r>
      <w:proofErr w:type="spellStart"/>
      <w:r>
        <w:t>predstavlja</w:t>
      </w:r>
      <w:proofErr w:type="spellEnd"/>
      <w:r>
        <w:t> </w:t>
      </w:r>
      <w:proofErr w:type="spellStart"/>
      <w:r>
        <w:t>obvezu</w:t>
      </w:r>
      <w:proofErr w:type="spellEnd"/>
      <w:r>
        <w:t xml:space="preserve"> za EU </w:t>
      </w:r>
      <w:proofErr w:type="spellStart"/>
      <w:r>
        <w:t>predujmove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državnog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>. </w:t>
      </w:r>
    </w:p>
    <w:p w14:paraId="7E5E42D3" w14:textId="77777777" w:rsidR="0092186F" w:rsidRDefault="00CD503B">
      <w:r>
        <w:t> </w:t>
      </w:r>
    </w:p>
    <w:p w14:paraId="0136A260" w14:textId="77777777" w:rsidR="0092186F" w:rsidRDefault="0092186F"/>
    <w:sectPr w:rsidR="0092186F" w:rsidSect="00CD503B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186F"/>
    <w:rsid w:val="0092186F"/>
    <w:rsid w:val="00CD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587AF"/>
  <w15:docId w15:val="{71DDBBFE-CBB3-46B1-BB95-268781B7C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2816</Words>
  <Characters>16054</Characters>
  <Application>Microsoft Office Word</Application>
  <DocSecurity>0</DocSecurity>
  <Lines>133</Lines>
  <Paragraphs>37</Paragraphs>
  <ScaleCrop>false</ScaleCrop>
  <Company/>
  <LinksUpToDate>false</LinksUpToDate>
  <CharactersWithSpaces>18833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cp:lastPrinted>2026-01-29T13:09:00Z</cp:lastPrinted>
  <dcterms:created xsi:type="dcterms:W3CDTF">2026-01-29T13:09:00Z</dcterms:created>
  <dcterms:modified xsi:type="dcterms:W3CDTF">2026-01-29T13:10:00Z</dcterms:modified>
</cp:coreProperties>
</file>