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E36B2">
      <w:pPr>
        <w:spacing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noProof/>
          <w:color w:val="000000"/>
          <w:sz w:val="18"/>
          <w:lang w:eastAsia="hr-HR"/>
        </w:rPr>
        <w:drawing>
          <wp:inline>
            <wp:extent cx="1038225" cy="419100"/>
            <wp:effectExtent xmlns:wp="http://schemas.openxmlformats.org/drawingml/2006/wordprocessingDrawing" l="0" t="0" r="9525" b="0"/>
            <wp:docPr id="1" descr="logo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4F18E">
      <w:pPr>
        <w:spacing w:after="0" w:line="240" w:lineRule="auto"/>
        <w:rPr>
          <w:rFonts w:ascii="Broadway" w:hAnsi="Broadway"/>
          <w:b/>
          <w:color w:val="000000"/>
        </w:rPr>
      </w:pPr>
      <w:r>
        <w:rPr>
          <w:rFonts w:ascii="Broadway" w:hAnsi="Broadway"/>
          <w:b/>
          <w:color w:val="000000"/>
        </w:rPr>
        <w:t xml:space="preserve">Ekonomsko-birotehni</w:t>
      </w:r>
      <w:r>
        <w:rPr>
          <w:b/>
          <w:color w:val="000000"/>
        </w:rPr>
        <w:t xml:space="preserve">č</w:t>
      </w:r>
      <w:r>
        <w:rPr>
          <w:rFonts w:ascii="Broadway" w:hAnsi="Broadway"/>
          <w:b/>
          <w:color w:val="000000"/>
        </w:rPr>
        <w:t xml:space="preserve">ka</w:t>
      </w:r>
      <w:r>
        <w:rPr>
          <w:rFonts w:ascii="Broadway" w:hAnsi="Broadway"/>
          <w:b/>
          <w:color w:val="000000"/>
        </w:rPr>
        <w:tab/>
        <w:t xml:space="preserve"/>
      </w:r>
      <w:r>
        <w:rPr>
          <w:rFonts w:ascii="Broadway" w:hAnsi="Broadway"/>
          <w:b/>
          <w:color w:val="000000"/>
        </w:rPr>
        <w:tab/>
        <w:t xml:space="preserve"/>
      </w:r>
      <w:r>
        <w:rPr>
          <w:rFonts w:ascii="Broadway" w:hAnsi="Broadway"/>
          <w:b/>
          <w:color w:val="000000"/>
        </w:rPr>
        <w:tab/>
        <w:t xml:space="preserve"/>
      </w:r>
    </w:p>
    <w:p w14:paraId="2B63927A">
      <w:pPr>
        <w:spacing w:line="240" w:lineRule="auto"/>
        <w:rPr>
          <w:rFonts w:ascii="Broadway" w:hAnsi="Broadway"/>
          <w:b/>
          <w:color w:val="000000"/>
        </w:rPr>
      </w:pPr>
      <w:r>
        <w:rPr>
          <w:rFonts w:ascii="Broadway" w:hAnsi="Broadway"/>
          <w:b/>
          <w:color w:val="000000"/>
        </w:rPr>
        <w:t xml:space="preserve">i trgova</w:t>
      </w:r>
      <w:r>
        <w:rPr>
          <w:b/>
          <w:color w:val="000000"/>
        </w:rPr>
        <w:t xml:space="preserve">č</w:t>
      </w:r>
      <w:r>
        <w:rPr>
          <w:rFonts w:ascii="Broadway" w:hAnsi="Broadway"/>
          <w:b/>
          <w:color w:val="000000"/>
        </w:rPr>
        <w:t xml:space="preserve">ka škola – Zadar</w:t>
      </w:r>
    </w:p>
    <w:p w14:paraId="25F72D83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ZADAR, Antuna Gustava Matoša 40</w:t>
      </w:r>
    </w:p>
    <w:p w14:paraId="1699B03E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MB 00390151 // OIB 04405149472</w:t>
      </w:r>
    </w:p>
    <w:p w14:paraId="210AF019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Tel, fax: 331-022, 331-221</w:t>
      </w:r>
    </w:p>
    <w:p w14:paraId="3BA9C40D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e-mail: ekonomska@ebt-zadar.hr</w:t>
      </w:r>
    </w:p>
    <w:p w14:paraId="7AD2FFCF">
      <w:pPr>
        <w:spacing w:line="240" w:lineRule="auto"/>
        <w:rPr>
          <w:b/>
          <w:color w:val="0563C1"/>
          <w:u w:val="single"/>
        </w:rPr>
      </w:pPr>
      <w:r>
        <w:rPr/>
        <w:fldChar w:fldCharType="begin"/>
      </w:r>
      <w:r>
        <w:rPr/>
        <w:instrText xml:space="preserve">HYPERLINK "http://www.ebt-zadar.hr/" </w:instrText>
      </w:r>
      <w:r>
        <w:rPr/>
        <w:fldChar w:fldCharType="separate"/>
      </w:r>
      <w:r>
        <w:rPr>
          <w:b/>
          <w:color w:val="0563C1"/>
          <w:u w:val="single"/>
        </w:rPr>
        <w:t xml:space="preserve">www.ebt-zadar.hr</w:t>
      </w:r>
      <w:r>
        <w:rPr/>
        <w:fldChar w:fldCharType="end"/>
      </w:r>
    </w:p>
    <w:p w14:paraId="10F2A2DB">
      <w:pPr>
        <w:spacing w:after="0" w:line="24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</w:t>
      </w:r>
      <w:r>
        <w:rPr>
          <w:rFonts w:ascii="Times New Roman" w:hAnsi="Times New Roman" w:cs="Times New Roman"/>
          <w:noProof/>
          <w:szCs w:val="24"/>
          <w:lang w:val="en-US"/>
        </w:rPr>
        <w:t xml:space="preserve">400-04/26-01/2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  </w:t>
      </w:r>
    </w:p>
    <w:p w14:paraId="475E6CD2">
      <w:pPr>
        <w: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</w:t>
      </w:r>
      <w:r>
        <w:rPr>
          <w:rFonts w:ascii="Times New Roman" w:hAnsi="Times New Roman" w:cs="Times New Roman"/>
          <w:noProof/>
          <w:szCs w:val="24"/>
        </w:rPr>
        <w:t xml:space="preserve">2198-1-56-26-1</w:t>
      </w:r>
      <w:r>
        <w:rPr>
          <w:rFonts w:ascii="Times New Roman" w:hAnsi="Times New Roman" w:cs="Times New Roman"/>
          <w:szCs w:val="24"/>
        </w:rPr>
        <w:t xml:space="preserve">                                              </w:t>
      </w:r>
    </w:p>
    <w:p w14:paraId="2A719C63"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</w:t>
      </w:r>
      <w:r>
        <w:rPr/>
        <w:drawing>
          <wp:inline>
            <wp:extent cx="933580" cy="9335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14:paraId="63894AB8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Zadar,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 rujna 2026. godine</w:t>
      </w:r>
    </w:p>
    <w:p w14:paraId="25045CFF">
      <w:pPr>
        <w:spacing/>
        <w:rPr>
          <w:rFonts w:ascii="Times New Roman" w:hAnsi="Times New Roman" w:cs="Times New Roman"/>
          <w:b/>
          <w:sz w:val="24"/>
        </w:rPr>
      </w:pPr>
    </w:p>
    <w:p w14:paraId="3370688C">
      <w:pPr>
        <w:spacing/>
        <w:jc w:val="center"/>
        <w:rPr>
          <w:rFonts w:ascii="Times New Roman" w:hAnsi="Times New Roman" w:cs="Times New Roman"/>
          <w:b/>
          <w:sz w:val="24"/>
        </w:rPr>
      </w:pPr>
    </w:p>
    <w:p w14:paraId="7A678864">
      <w:pPr>
        <w:spacing/>
        <w:rPr>
          <w:rFonts w:ascii="Times New Roman" w:hAnsi="Times New Roman" w:cs="Times New Roman"/>
          <w:b/>
          <w:sz w:val="24"/>
        </w:rPr>
      </w:pPr>
    </w:p>
    <w:p w14:paraId="70E853BE">
      <w:pPr>
        <w: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PREDMET:</w:t>
      </w:r>
    </w:p>
    <w:p w14:paraId="0C369FBF">
      <w:pPr>
        <w: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izmjena i dopuna financijskog plana za 2026. – Rebalans 1</w:t>
      </w:r>
    </w:p>
    <w:p w14:paraId="1BE1A420">
      <w:pPr>
        <w:spacing/>
        <w:rPr>
          <w:rFonts w:ascii="Times New Roman" w:hAnsi="Times New Roman" w:cs="Times New Roman"/>
          <w:b/>
          <w:sz w:val="24"/>
        </w:rPr>
      </w:pPr>
    </w:p>
    <w:p w14:paraId="3A621C18">
      <w:pPr>
        <w:spacing/>
        <w:rPr>
          <w:rFonts w:ascii="Times New Roman" w:hAnsi="Times New Roman" w:cs="Times New Roman"/>
          <w:b/>
          <w:sz w:val="24"/>
        </w:rPr>
      </w:pPr>
    </w:p>
    <w:p w14:paraId="5C361AD6">
      <w:pPr>
        <w:pStyle w:val="Odlomakpopisa"/>
        <w:numPr>
          <w:ilvl w:val="0"/>
          <w:numId w:val="5"/>
        </w:numPr>
        <w: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OSNOVNI PODACI O ŠKOLI</w:t>
      </w:r>
    </w:p>
    <w:p w14:paraId="0857612C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Ekonomsko-birotehnička i trgovačka škola Zadar je javna ustanova srednjeg odgoja i obrazovanja čiji je osnivač Zadarska županija. Škola djeluje u školskoj zgradi izgrađenoj 1972. godine, te se prostor dijeli sa Hotelijersko-turističkom i ugostiteljskom školom Zadar. Raspolaže s</w:t>
      </w:r>
      <w:r>
        <w:rPr>
          <w:rFonts w:ascii="Times New Roman" w:hAnsi="Times New Roman" w:cs="Times New Roman"/>
          <w:sz w:val="24"/>
        </w:rPr>
        <w:t xml:space="preserve">a</w:t>
      </w:r>
      <w:r>
        <w:rPr>
          <w:rFonts w:ascii="Times New Roman" w:hAnsi="Times New Roman" w:cs="Times New Roman"/>
          <w:sz w:val="24"/>
        </w:rPr>
        <w:t xml:space="preserve"> 16 specijaliziranih učionica, 7 kabineta za profesore po aktivima, dvoranom za tjelesni odgoj, vanjskim igralištem i knjižnicom. Školu pohađa </w:t>
      </w:r>
      <w:r>
        <w:rPr>
          <w:rFonts w:ascii="Times New Roman" w:hAnsi="Times New Roman" w:cs="Times New Roman"/>
          <w:sz w:val="24"/>
        </w:rPr>
        <w:t xml:space="preserve">626</w:t>
      </w:r>
      <w:r>
        <w:rPr>
          <w:rFonts w:ascii="Times New Roman" w:hAnsi="Times New Roman" w:cs="Times New Roman"/>
          <w:sz w:val="24"/>
        </w:rPr>
        <w:t xml:space="preserve"> učenika u 2</w:t>
      </w:r>
      <w:r>
        <w:rPr>
          <w:rFonts w:ascii="Times New Roman" w:hAnsi="Times New Roman" w:cs="Times New Roman"/>
          <w:sz w:val="24"/>
        </w:rPr>
        <w:t xml:space="preserve">7</w:t>
      </w:r>
      <w:r>
        <w:rPr>
          <w:rFonts w:ascii="Times New Roman" w:hAnsi="Times New Roman" w:cs="Times New Roman"/>
          <w:sz w:val="24"/>
        </w:rPr>
        <w:t xml:space="preserve"> razrednih odjela. Učenici se obrazuju u području ekonomije, trgovine i poslovne administracije za zanimanja ekonomist, komercijalist, poslovni tajnik, upravni referent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prodavač</w:t>
      </w:r>
      <w:r>
        <w:rPr>
          <w:rFonts w:ascii="Times New Roman" w:hAnsi="Times New Roman" w:cs="Times New Roman"/>
          <w:sz w:val="24"/>
        </w:rPr>
        <w:t xml:space="preserve">, referent za poslovnu ekonomiju i upravno poslovni referent, te smjer opće gimnazije</w:t>
      </w:r>
      <w:r>
        <w:rPr>
          <w:rFonts w:ascii="Times New Roman" w:hAnsi="Times New Roman" w:cs="Times New Roman"/>
          <w:sz w:val="24"/>
        </w:rPr>
        <w:t xml:space="preserve">. Nastava je organizirana u jutarnjoj i popodnevnoj smjeni u petodnevnom radnom tjednu prema nastavnim planovima i programima koje je donijelo Ministarstvo znanosti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obrazovanja</w:t>
      </w:r>
      <w:r>
        <w:rPr>
          <w:rFonts w:ascii="Times New Roman" w:hAnsi="Times New Roman" w:cs="Times New Roman"/>
          <w:sz w:val="24"/>
        </w:rPr>
        <w:t xml:space="preserve"> i mladih</w:t>
      </w:r>
      <w:r>
        <w:rPr>
          <w:rFonts w:ascii="Times New Roman" w:hAnsi="Times New Roman" w:cs="Times New Roman"/>
          <w:sz w:val="24"/>
        </w:rPr>
        <w:t xml:space="preserve">, Godišnjem planu i programu rada Škole, kao i Školskom kurikulumu. </w:t>
      </w:r>
    </w:p>
    <w:p w14:paraId="1B378371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BBA5134">
      <w:pPr>
        <w:pStyle w:val="Odlomakpopis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</w:t>
      </w:r>
      <w:r>
        <w:rPr>
          <w:rFonts w:ascii="Times New Roman" w:hAnsi="Times New Roman" w:cs="Times New Roman"/>
          <w:b/>
          <w:sz w:val="24"/>
        </w:rPr>
        <w:t xml:space="preserve">REBALANSA 1 ZA 2026. GODINU</w:t>
      </w:r>
    </w:p>
    <w:p w14:paraId="75CA18D8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skladu s čl. </w:t>
      </w:r>
      <w:r>
        <w:rPr>
          <w:rFonts w:ascii="Times New Roman" w:hAnsi="Times New Roman" w:cs="Times New Roman"/>
          <w:sz w:val="24"/>
          <w:szCs w:val="24"/>
        </w:rPr>
        <w:t xml:space="preserve">45</w:t>
      </w:r>
      <w:r>
        <w:rPr>
          <w:rFonts w:ascii="Times New Roman" w:hAnsi="Times New Roman" w:cs="Times New Roman"/>
          <w:sz w:val="24"/>
          <w:szCs w:val="24"/>
        </w:rPr>
        <w:t xml:space="preserve">. i </w:t>
      </w:r>
      <w:r>
        <w:rPr>
          <w:rFonts w:ascii="Times New Roman" w:hAnsi="Times New Roman" w:cs="Times New Roman"/>
          <w:sz w:val="24"/>
          <w:szCs w:val="24"/>
        </w:rPr>
        <w:t xml:space="preserve">46</w:t>
      </w:r>
      <w:r>
        <w:rPr>
          <w:rFonts w:ascii="Times New Roman" w:hAnsi="Times New Roman" w:cs="Times New Roman"/>
          <w:sz w:val="24"/>
          <w:szCs w:val="24"/>
        </w:rPr>
        <w:t xml:space="preserve">. Zakona o proračunu (</w:t>
      </w:r>
      <w:r>
        <w:rPr>
          <w:rFonts w:ascii="Times New Roman" w:hAnsi="Times New Roman" w:cs="Times New Roman"/>
          <w:sz w:val="24"/>
          <w:szCs w:val="24"/>
        </w:rPr>
        <w:t xml:space="preserve">NN 144</w:t>
      </w:r>
      <w:r>
        <w:rPr>
          <w:rFonts w:ascii="Times New Roman" w:hAnsi="Times New Roman" w:cs="Times New Roman"/>
          <w:sz w:val="24"/>
          <w:szCs w:val="24"/>
        </w:rPr>
        <w:t xml:space="preserve">/21)</w:t>
      </w:r>
      <w:r>
        <w:rPr>
          <w:rFonts w:ascii="Times New Roman" w:hAnsi="Times New Roman" w:cs="Times New Roman"/>
          <w:sz w:val="24"/>
          <w:szCs w:val="24"/>
        </w:rPr>
        <w:t xml:space="preserve">, Pravilnika o planiranju u sustavu proračuna (NN 1/24), </w:t>
      </w:r>
      <w:r>
        <w:rPr>
          <w:rFonts w:ascii="Times New Roman" w:hAnsi="Times New Roman" w:cs="Times New Roman"/>
          <w:sz w:val="24"/>
          <w:szCs w:val="24"/>
        </w:rPr>
        <w:t xml:space="preserve">Zakona o fiskalnoj odgovornosti (NN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111/18</w:t>
      </w:r>
      <w:r>
        <w:rPr>
          <w:rFonts w:ascii="Times New Roman" w:hAnsi="Times New Roman" w:cs="Times New Roman"/>
          <w:sz w:val="24"/>
          <w:szCs w:val="24"/>
        </w:rPr>
        <w:t xml:space="preserve">, 83/23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 Uputama osnivača za izradu prijedloga Izmjena i dopuna proračuna i financijskih planova upravnih tijela, proračunskih i izvanproračunskih korisnika te nizom drugih propisa koji uređuju područje stjecanja i raspoređivanja proračunskih sredstava (Pravilnik o proračunskom računovodstvu i Računskom planu (NN 158/23, 154/24), Pravilnik o proračunskim klasifikacijama (NN 4/24, </w:t>
      </w:r>
      <w:r>
        <w:rPr>
          <w:rFonts w:ascii="Times New Roman" w:hAnsi="Times New Roman" w:cs="Times New Roman"/>
          <w:sz w:val="24"/>
          <w:szCs w:val="24"/>
        </w:rPr>
        <w:t xml:space="preserve">122/25)) </w:t>
      </w:r>
      <w:r>
        <w:rPr>
          <w:rFonts w:ascii="Times New Roman" w:hAnsi="Times New Roman" w:cs="Times New Roman"/>
          <w:sz w:val="24"/>
          <w:szCs w:val="24"/>
        </w:rPr>
        <w:t xml:space="preserve">Ravnatelj Škole donosi prijedlog izmjena i dopuna financijskog plana </w:t>
      </w:r>
      <w:r>
        <w:rPr>
          <w:rFonts w:ascii="Times New Roman" w:hAnsi="Times New Roman" w:cs="Times New Roman"/>
          <w:sz w:val="24"/>
          <w:szCs w:val="24"/>
        </w:rPr>
        <w:t xml:space="preserve">za 2026. – Rebalans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Ravnatelj škole odgovoran je za zakonito i pravilno planiranje i izvršavanje financijskog plana. </w:t>
      </w:r>
    </w:p>
    <w:p w14:paraId="38ABEB6D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Prve Izmjene i dopune Financijskog plana Ekonomsko-birotehničke i trgovačke škole Zadar sastoje se od općeg i posebno</w:t>
      </w:r>
      <w:r>
        <w:rPr>
          <w:rFonts w:ascii="Times New Roman" w:hAnsi="Times New Roman" w:cs="Times New Roman"/>
          <w:sz w:val="24"/>
          <w:szCs w:val="24"/>
        </w:rPr>
        <w:t xml:space="preserve">g dijela. Svi prihodi i primici kao i rashodi i izdaci utvrđeni ovim rebalansom su uravnoteženi. </w:t>
      </w:r>
    </w:p>
    <w:p w14:paraId="6FC35DDC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2CA1BA60">
      <w:pPr>
        <w:pStyle w:val="Odlomakpopisa"/>
        <w:numPr>
          <w:ilvl w:val="0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OPĆI DIO REBALANSA 1</w:t>
      </w:r>
    </w:p>
    <w:p w14:paraId="6D0CA41B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 dio sastoji se od sažetka računa prihoda i rashoda, primitaka i izdataka iskazanih prema ekonomskoj klasifikaciji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izvorima financiranja i rashoda iskazanih prema funkcijskoj klasifikaciji. </w:t>
      </w:r>
    </w:p>
    <w:p w14:paraId="7080FDC5">
      <w:pPr>
        <w:pStyle w:val="Odlomakpopisa"/>
        <w:numPr>
          <w:ilvl w:val="1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PRIHODI POSLOVANJA</w:t>
      </w:r>
    </w:p>
    <w:p w14:paraId="754C2993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</w:t>
      </w:r>
      <w:r>
        <w:rPr>
          <w:rFonts w:ascii="Times New Roman" w:hAnsi="Times New Roman" w:cs="Times New Roman"/>
          <w:sz w:val="24"/>
          <w:szCs w:val="24"/>
        </w:rPr>
        <w:t xml:space="preserve">pni prihodi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Rebalansu 1 planirani su u iznosu od 2.325.610,28 EUR što je povećanje za 369.117,83 EUR u odnosu na izvorni plan za 2026. godinu.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06"/>
        <w:gridCol w:w="2478"/>
        <w:gridCol w:w="2478"/>
      </w:tblGrid>
      <w:tr>
        <w:trPr/>
        <w:tc>
          <w:tcPr>
            <w:tcW w:type="dxa" w:w="4106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Prihodi/ primici</w:t>
            </w:r>
          </w:p>
        </w:tc>
        <w:tc>
          <w:tcPr>
            <w:tcW w:type="dxa" w:w="2478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za 2026. godinu</w:t>
            </w:r>
          </w:p>
        </w:tc>
        <w:tc>
          <w:tcPr>
            <w:tcW w:type="dxa" w:w="2478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Prijedlog novog plana za 2026. godinu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Prihodi ukupno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1.956.482,45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2.325.610,28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 – Pomoći iz inozemstva i od subjekata unutar općeg proračuna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1.815.575,40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2.177.639,80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 – Prihodi od upravnih i administrativnih pristojbi, pristojbi po posebnim propisima i naknadama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700,00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 – Prihodi od prodaje proizvoda i robe te pruženih usluga, prihodi od donacija te povrati po protestiranim jamstvima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6.723,00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9.933,00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 – Prihodi iz nadležnog proračuna i od HZZO-a temeljem ugovornih obveza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134.164,05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137.327,48</w:t>
            </w:r>
          </w:p>
        </w:tc>
      </w:tr>
    </w:tbl>
    <w:p w14:paraId="65281851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31BFA5BE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tablici je vidljivo povećanje prihoda 63 Pomoći iz inozemstva i od subjekata unutar općeg proračuna kojima se podmiruju rashodi za plaće i ostala materijalna prava zaposlenika, rashodi za nabavu udžbenika i knjiga za knjižnicu te prijevoz djece s poteškoćama. Prihodi se odnose na sredstva Ministarstva znanosti, obrazovanja i mladih.</w:t>
      </w:r>
    </w:p>
    <w:p w14:paraId="77EF85B4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skupine 65 odnose se na prihode od izdanih duplikata </w:t>
      </w:r>
      <w:r>
        <w:rPr>
          <w:rFonts w:ascii="Times New Roman" w:hAnsi="Times New Roman" w:cs="Times New Roman"/>
          <w:sz w:val="24"/>
          <w:szCs w:val="24"/>
        </w:rPr>
        <w:t xml:space="preserve">svjedožbi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 w14:paraId="57B5E519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 Prihodi od prodaje proizvoda i robe te pruženih usluga, prihodi od donacija te povrati po protestiranim jamstvima odnose se na prihode od najma školskih prostora te donacije. Rebalansom je planirano povećanje spomenutih prihoda.</w:t>
      </w:r>
    </w:p>
    <w:p w14:paraId="5ACE3FDE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nadležnog proračuna i od HZZO-a na temelju ugovornih obveza planirani su za 3.073,43 EUR više u odnosu na izvorni plan za 2026. godinu. Spomenute prihode osigurava osnivač</w:t>
      </w:r>
      <w:r>
        <w:rPr>
          <w:rFonts w:ascii="Times New Roman" w:hAnsi="Times New Roman" w:cs="Times New Roman"/>
          <w:sz w:val="24"/>
          <w:szCs w:val="24"/>
        </w:rPr>
        <w:t xml:space="preserve">, te su određeni Uputama za izradu prijedloga Izmjena i dopuna proračuna i financijskih planova upravnih tijela, proračunskih i izvanproračunskih korisnika.</w:t>
      </w:r>
    </w:p>
    <w:p w14:paraId="3EEB602F">
      <w:pPr>
        <w:pStyle w:val="Odlomakpopisa"/>
        <w:numPr>
          <w:ilvl w:val="1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RASHODI POSLOVANJA</w:t>
      </w:r>
    </w:p>
    <w:p w14:paraId="20F2916E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rashodi Rebalansom 1 planirani su u iznosu od 2.433.711,13 EUR što predstavlja povećanje za 365.167,48 EUR</w:t>
      </w:r>
      <w:r>
        <w:rPr>
          <w:rFonts w:ascii="Times New Roman" w:hAnsi="Times New Roman" w:cs="Times New Roman"/>
          <w:sz w:val="24"/>
          <w:szCs w:val="24"/>
        </w:rPr>
        <w:t xml:space="preserve"> u odnosu na izvorni financijski plan za 2026. godinu.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06"/>
        <w:gridCol w:w="2478"/>
        <w:gridCol w:w="2478"/>
      </w:tblGrid>
      <w:tr>
        <w:trPr/>
        <w:tc>
          <w:tcPr>
            <w:tcW w:type="dxa" w:w="4106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Rashodi/ izdaci</w:t>
            </w:r>
          </w:p>
        </w:tc>
        <w:tc>
          <w:tcPr>
            <w:tcW w:type="dxa" w:w="2478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za 2026. godinu</w:t>
            </w:r>
          </w:p>
        </w:tc>
        <w:tc>
          <w:tcPr>
            <w:tcW w:type="dxa" w:w="2478"/>
            <w:tcBorders/>
            <w:shd w:fill="D9D9D9" w:color="auto" w:val="clear"/>
            <w:vAlign w:val="center"/>
          </w:tcPr>
          <w:p>
            <w:pPr>
              <w: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Prijedlog novog plana za 2026. godinu</w:t>
            </w:r>
          </w:p>
        </w:tc>
      </w:tr>
      <w:tr>
        <w:trPr/>
        <w:tc>
          <w:tcPr>
            <w:tcW w:type="dxa" w:w="4106"/>
            <w:tcBorders/>
            <w:vAlign w:val="bottom"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Rashodi ukupno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2.068.543,65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2.433.711,13</w:t>
            </w:r>
          </w:p>
        </w:tc>
      </w:tr>
      <w:tr>
        <w:trPr/>
        <w:tc>
          <w:tcPr>
            <w:tcW w:type="dxa" w:w="4106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 – Rashodi za zaposlene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1.778.110,00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2.056.405,78</w:t>
            </w:r>
          </w:p>
        </w:tc>
      </w:tr>
      <w:tr>
        <w:trPr/>
        <w:tc>
          <w:tcPr>
            <w:tcW w:type="dxa" w:w="4106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 – Materijalni rashodi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277.703,65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334.147,51</w:t>
            </w:r>
          </w:p>
        </w:tc>
      </w:tr>
      <w:tr>
        <w:trPr/>
        <w:tc>
          <w:tcPr>
            <w:tcW w:type="dxa" w:w="4106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 –  </w:t>
            </w:r>
            <w:r>
              <w:rPr>
                <w:rFonts w:ascii="Times New Roman" w:hAnsi="Times New Roman" w:cs="Times New Roman"/>
              </w:rPr>
              <w:t xml:space="preserve">Na</w:t>
            </w:r>
            <w:r>
              <w:rPr>
                <w:rFonts w:ascii="Times New Roman" w:hAnsi="Times New Roman" w:cs="Times New Roman"/>
              </w:rPr>
              <w:t xml:space="preserve">kn</w:t>
            </w:r>
            <w:r>
              <w:rPr>
                <w:rFonts w:ascii="Times New Roman" w:hAnsi="Times New Roman" w:cs="Times New Roman"/>
              </w:rPr>
              <w:t xml:space="preserve">ade građanima i kućanstvima na temelju osiguranja i druge na</w:t>
            </w:r>
            <w:r>
              <w:rPr>
                <w:rFonts w:ascii="Times New Roman" w:hAnsi="Times New Roman" w:cs="Times New Roman"/>
              </w:rPr>
              <w:t xml:space="preserve">kn</w:t>
            </w:r>
            <w:r>
              <w:rPr>
                <w:rFonts w:ascii="Times New Roman" w:hAnsi="Times New Roman" w:cs="Times New Roman"/>
              </w:rPr>
              <w:t xml:space="preserve">ade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9.000,00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41.837,84</w:t>
            </w:r>
          </w:p>
        </w:tc>
      </w:tr>
      <w:tr>
        <w:trPr/>
        <w:tc>
          <w:tcPr>
            <w:tcW w:type="dxa" w:w="4106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 –  Ostali rashodi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1.700,00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</w:t>
            </w:r>
          </w:p>
        </w:tc>
      </w:tr>
      <w:tr>
        <w:trPr/>
        <w:tc>
          <w:tcPr>
            <w:tcW w:type="dxa" w:w="4106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 – Rashodi za nabavu proizvedene dugotrajne imovine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2.030,00</w:t>
            </w:r>
          </w:p>
        </w:tc>
        <w:tc>
          <w:tcPr>
            <w:tcW w:type="dxa" w:w="2478"/>
            <w:tcBorders/>
            <w:vAlign w:val="bottom"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1.320,00</w:t>
            </w:r>
          </w:p>
        </w:tc>
      </w:tr>
    </w:tbl>
    <w:p w14:paraId="6A7067F4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4F6ACC3A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Planirano je povećanje na rashodima za zaposlene, materijalnim rashodima i naknadama građanima i kućanstvima na temelju osiguranja i druge naknade, dok su ostali rashodi i rashodi za nabavu proizvedene dugotrajne imovine smanjeni rebalansom 1. </w:t>
      </w:r>
    </w:p>
    <w:p w14:paraId="18BE973C">
      <w:pPr>
        <w:pStyle w:val="Odlomakpopisa"/>
        <w:numPr>
          <w:ilvl w:val="1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PRENESENI VIŠAK</w:t>
      </w:r>
    </w:p>
    <w:p w14:paraId="504E3AF5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Stvarni višak sredstava prenijet iz prethodne godine iznosi 108.100,85 EUR te je u cijelosti raspoređen unutar skupina rashoda. </w:t>
      </w:r>
    </w:p>
    <w:p w14:paraId="1BE9B6A4">
      <w:pPr>
        <w:pStyle w:val="Odlomakpopisa"/>
        <w:numPr>
          <w:ilvl w:val="0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POSEBNI DIO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REBALANSA 1</w:t>
      </w:r>
    </w:p>
    <w:p w14:paraId="3FBC6158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Pose</w:t>
      </w:r>
      <w:r>
        <w:rPr>
          <w:rFonts w:ascii="Times New Roman" w:hAnsi="Times New Roman" w:cs="Times New Roman"/>
          <w:sz w:val="24"/>
          <w:szCs w:val="24"/>
        </w:rPr>
        <w:t xml:space="preserve">bni dio financijskog plana sastoji se od plana rashoda i izdataka prikazanih prema izvorima financiranja i ekonomskoj klasifikaciji raspoređenih u programe koji se sastoje od aktivnosti i projekata. Škola se financira sredstvima Ministarstva znanosti, obrazovanja i mladih, decentraliziranim sredstvima Zadarske županije, vlastitim sredstvima, sredstvima za posebne namjene, donacijama te sredstvima dobivenim putem EU projekata. </w:t>
      </w:r>
    </w:p>
    <w:p w14:paraId="778B7CEB">
      <w:pPr>
        <w:spacing w:line="240" w:lineRule="auto"/>
        <w:ind w:right="-142"/>
        <w:jc w:val="both"/>
        <w:rPr>
          <w:rFonts w:ascii="Times New Roman" w:hAnsi="Times New Roman" w:cs="Times New Roman"/>
          <w:b/>
          <w:sz w:val="24"/>
        </w:rPr>
      </w:pPr>
    </w:p>
    <w:p w14:paraId="7241BC0D">
      <w:pPr>
        <w:spacing w:line="240" w:lineRule="auto"/>
        <w:ind w:right="-142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U financijskom planu škole provode se 4 programa koja se financiraju iz više izvora financiranja:</w:t>
      </w:r>
    </w:p>
    <w:p w14:paraId="4E39D363">
      <w:pPr>
        <w:pStyle w:val="Odlomakpopisa"/>
        <w:numPr>
          <w:ilvl w:val="1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Program 2204 Srednje školstvo – standard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57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bookmarkStart w:id="3" w:name="_Hlk201650856"/>
            <w:r>
              <w:rPr>
                <w:rFonts w:ascii="Times New Roman" w:hAnsi="Times New Roman" w:cs="Times New Roman"/>
              </w:rPr>
              <w:t xml:space="preserve">Program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2204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1.916.064,05</w:t>
            </w:r>
          </w:p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2.196.827,48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114,65</w:t>
            </w:r>
          </w:p>
        </w:tc>
      </w:tr>
      <w:bookmarkEnd w:id="3"/>
    </w:tbl>
    <w:p w14:paraId="0553963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3F04F82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3E7FB5A4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6D535ED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Opći ciljevi programa: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namijenjen je financiranju materijalnih rashoda Škole i rashoda za zaposlene kao temeljnih potreba za poslovanje Škole</w:t>
      </w:r>
    </w:p>
    <w:p w14:paraId="79E6AE82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Posebni ciljevi: Kvalitetno i uspješno odvijanje nastavnog procesa </w:t>
      </w:r>
    </w:p>
    <w:p w14:paraId="2D69D2D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Pokazatelj uspješnosti: Zadovoljstvo učenika i nastavnika nastavnim planom i programom</w:t>
      </w:r>
    </w:p>
    <w:p w14:paraId="0488BAC5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Program „2204 Srednje školstvo – standard“ provodi se kroz </w:t>
      </w:r>
      <w:r>
        <w:rPr>
          <w:rFonts w:ascii="Times New Roman" w:hAnsi="Times New Roman" w:cs="Times New Roman"/>
          <w:sz w:val="24"/>
        </w:rPr>
        <w:t xml:space="preserve">aktivnosti:</w:t>
      </w:r>
    </w:p>
    <w:p w14:paraId="1C870861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A2204-01 Djelatnost srednjih škola</w:t>
      </w:r>
    </w:p>
    <w:p w14:paraId="64A6880A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A2204-07 Administracija i upravljanje </w:t>
      </w:r>
    </w:p>
    <w:p w14:paraId="63BDE73C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75CCF74">
      <w:pPr>
        <w:pStyle w:val="Odlomakpopisa"/>
        <w:numPr>
          <w:ilvl w:val="2"/>
          <w:numId w:val="5"/>
        </w:num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Aktivnost A2204-01 Djelatnost srednjih škola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5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2204-01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134.164,05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137.327,48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102,36</w:t>
            </w:r>
          </w:p>
        </w:tc>
      </w:tr>
    </w:tbl>
    <w:p w14:paraId="5118E1D2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8C27EB8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223499C6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28A083CD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Aktivnost i sredstva su namijenjena financiranju materijalnih rashoda Škole, koji se sastoje od troška prijevoza zaposlenika s posla i na posao, službenih putovanja i usavršavanja zaposlenika, rashoda za podmirivanje troška uredskog materijala, te materijala za čišćenje i higijenu, komunalnih usluga, električne energije, računalnih usluga, usluga i materijala za redovno i  investicijsko održavanje zgrade i prostorija, osiguranje, članarine i ostalih rashoda i izdataka povezanih s redovnim radom Škole. Rashodi i izdaci zasnivaju se na financijskom planu tekuće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godine. Raspored sredstava obavljen je prema mogućnostima, s obzirom na zadani limit od strane osnivača, u ukupnom iznosu </w:t>
      </w:r>
      <w:r>
        <w:rPr>
          <w:rFonts w:ascii="Times New Roman" w:hAnsi="Times New Roman" w:cs="Times New Roman"/>
          <w:sz w:val="24"/>
          <w:szCs w:val="24"/>
        </w:rPr>
        <w:t xml:space="preserve">137.327,48</w:t>
      </w:r>
      <w:r>
        <w:rPr>
          <w:rFonts w:ascii="Times New Roman" w:hAnsi="Times New Roman" w:cs="Times New Roman"/>
          <w:sz w:val="24"/>
          <w:szCs w:val="24"/>
        </w:rPr>
        <w:t xml:space="preserve"> EUR. Vidljivo je povećanje sredstava u odnosu na prvotni financijski plan za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godinu za </w:t>
      </w:r>
      <w:r>
        <w:rPr>
          <w:rFonts w:ascii="Times New Roman" w:hAnsi="Times New Roman" w:cs="Times New Roman"/>
          <w:sz w:val="24"/>
          <w:szCs w:val="24"/>
        </w:rPr>
        <w:t xml:space="preserve">3.163,43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30ED2138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142041B4">
      <w:pPr>
        <w:pStyle w:val="Odlomakpopisa"/>
        <w:numPr>
          <w:ilvl w:val="2"/>
          <w:numId w:val="5"/>
        </w:num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Aktivnost A2204-07 Administracija i upravljanje</w:t>
      </w:r>
    </w:p>
    <w:p w14:paraId="3485607F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0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bookmarkStart w:id="4" w:name="_Hlk201651610"/>
            <w:r>
              <w:rPr>
                <w:rFonts w:ascii="Times New Roman" w:hAnsi="Times New Roman" w:cs="Times New Roman"/>
              </w:rPr>
              <w:t xml:space="preserve">Aktivnost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2204-07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1.781.900,00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2.059.500,00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115,58</w:t>
            </w:r>
          </w:p>
        </w:tc>
      </w:tr>
      <w:bookmarkEnd w:id="4"/>
    </w:tbl>
    <w:p w14:paraId="6663870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096708B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B07D51F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6F24BB25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Sredstvima iz ove aktivnosti financiraju se rashodi za zaposlene (plaće zaposlenika i materijalna prava zaposlenih) te naknade za nezapošljavanje invalida. Sredstva su u cijelosti dobivena od Ministarstva znanosti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obrazovanja</w:t>
      </w:r>
      <w:r>
        <w:rPr>
          <w:rFonts w:ascii="Times New Roman" w:hAnsi="Times New Roman" w:cs="Times New Roman"/>
          <w:sz w:val="24"/>
        </w:rPr>
        <w:t xml:space="preserve"> i mladih</w:t>
      </w:r>
      <w:r>
        <w:rPr>
          <w:rFonts w:ascii="Times New Roman" w:hAnsi="Times New Roman" w:cs="Times New Roman"/>
          <w:sz w:val="24"/>
        </w:rPr>
        <w:t xml:space="preserve">. S obzirom na povećanje osnovice za izračun plaće</w:t>
      </w:r>
      <w:r>
        <w:rPr>
          <w:rFonts w:ascii="Times New Roman" w:hAnsi="Times New Roman" w:cs="Times New Roman"/>
          <w:sz w:val="24"/>
        </w:rPr>
        <w:t xml:space="preserve"> te  ispravnog planiranja obračuna plaća</w:t>
      </w:r>
      <w:r>
        <w:rPr>
          <w:rFonts w:ascii="Times New Roman" w:hAnsi="Times New Roman" w:cs="Times New Roman"/>
          <w:sz w:val="24"/>
        </w:rPr>
        <w:t xml:space="preserve"> procjena rashoda je uvećana za </w:t>
      </w:r>
      <w:r>
        <w:rPr>
          <w:rFonts w:ascii="Times New Roman" w:hAnsi="Times New Roman" w:cs="Times New Roman"/>
          <w:sz w:val="24"/>
        </w:rPr>
        <w:t xml:space="preserve">277.600,00</w:t>
      </w:r>
      <w:r>
        <w:rPr>
          <w:rFonts w:ascii="Times New Roman" w:hAnsi="Times New Roman" w:cs="Times New Roman"/>
          <w:sz w:val="24"/>
        </w:rPr>
        <w:t xml:space="preserve"> EUR u odnosu na plan za 202</w:t>
      </w:r>
      <w:r>
        <w:rPr>
          <w:rFonts w:ascii="Times New Roman" w:hAnsi="Times New Roman" w:cs="Times New Roman"/>
          <w:sz w:val="24"/>
        </w:rPr>
        <w:t xml:space="preserve">6</w:t>
      </w:r>
      <w:r>
        <w:rPr>
          <w:rFonts w:ascii="Times New Roman" w:hAnsi="Times New Roman" w:cs="Times New Roman"/>
          <w:sz w:val="24"/>
        </w:rPr>
        <w:t xml:space="preserve">. godinu.</w:t>
      </w:r>
    </w:p>
    <w:p w14:paraId="6F2C7B64">
      <w:pPr>
        <w:pStyle w:val="Odlomakpopisa"/>
        <w:numPr>
          <w:ilvl w:val="1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Program 2205 Srednje školstvo – iznad standarda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1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2205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34.720,00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38.333,39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110,41</w:t>
            </w:r>
          </w:p>
        </w:tc>
      </w:tr>
    </w:tbl>
    <w:p w14:paraId="12F879CC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306E3DC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370C79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2A2C04D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Opći ciljevi programa: podizanje kvalitete nastave i standarda u školstvu na što višu razinu i po</w:t>
      </w:r>
      <w:r>
        <w:rPr>
          <w:rFonts w:ascii="Times New Roman" w:hAnsi="Times New Roman" w:cs="Times New Roman"/>
          <w:bCs/>
          <w:sz w:val="24"/>
        </w:rPr>
        <w:t xml:space="preserve">b</w:t>
      </w:r>
      <w:r>
        <w:rPr>
          <w:rFonts w:ascii="Times New Roman" w:hAnsi="Times New Roman" w:cs="Times New Roman"/>
          <w:bCs/>
          <w:sz w:val="24"/>
        </w:rPr>
        <w:t xml:space="preserve">oljšanje uvjeta rada i školovanja </w:t>
      </w:r>
      <w:r>
        <w:rPr>
          <w:rFonts w:ascii="Times New Roman" w:hAnsi="Times New Roman" w:cs="Times New Roman"/>
          <w:bCs/>
          <w:sz w:val="24"/>
        </w:rPr>
        <w:t xml:space="preserve">kroz uključivanje u razne aktivnosti, prijevoz djece s poteškoćama te opremanje školske knjižnice obveznom građom</w:t>
      </w:r>
    </w:p>
    <w:p w14:paraId="02217A0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Posebni ciljevi: uključivanje učenika na razne izvannastavne aktivnosti, natjecanja, projekte </w:t>
      </w:r>
    </w:p>
    <w:p w14:paraId="41FF987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 „2205 Srednje školstvo – iznad standarda“ </w:t>
      </w:r>
      <w:r>
        <w:rPr>
          <w:rFonts w:ascii="Times New Roman" w:hAnsi="Times New Roman" w:cs="Times New Roman"/>
          <w:sz w:val="24"/>
          <w:szCs w:val="24"/>
        </w:rPr>
        <w:t xml:space="preserve">provodi se kroz više aktivnosti, kao što su Javne potrebe u prosvjeti,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Obrazovanje odraslih, Podizanje kvalitete i standarda u školstvu, </w:t>
      </w:r>
      <w:r>
        <w:rPr>
          <w:rFonts w:ascii="Times New Roman" w:hAnsi="Times New Roman" w:cs="Times New Roman"/>
          <w:sz w:val="24"/>
          <w:szCs w:val="24"/>
        </w:rPr>
        <w:t xml:space="preserve"> Natjecanja i smotre, Projekt e-škole, Zalihe menstrualnih higijenskih potrepština i slično i za njih sredstva planira nadležni upravni odjel, a za sljedeć</w:t>
      </w:r>
      <w:r>
        <w:rPr>
          <w:rFonts w:ascii="Times New Roman" w:hAnsi="Times New Roman" w:cs="Times New Roman"/>
          <w:sz w:val="24"/>
          <w:szCs w:val="24"/>
        </w:rPr>
        <w:t xml:space="preserve">e</w:t>
      </w:r>
      <w:r>
        <w:rPr>
          <w:rFonts w:ascii="Times New Roman" w:hAnsi="Times New Roman" w:cs="Times New Roman"/>
          <w:sz w:val="24"/>
          <w:szCs w:val="24"/>
        </w:rPr>
        <w:t xml:space="preserve"> aktivnost</w:t>
      </w:r>
      <w:r>
        <w:rPr>
          <w:rFonts w:ascii="Times New Roman" w:hAnsi="Times New Roman" w:cs="Times New Roman"/>
          <w:sz w:val="24"/>
          <w:szCs w:val="24"/>
        </w:rPr>
        <w:t xml:space="preserve">i</w:t>
      </w:r>
      <w:r>
        <w:rPr>
          <w:rFonts w:ascii="Times New Roman" w:hAnsi="Times New Roman" w:cs="Times New Roman"/>
          <w:sz w:val="24"/>
          <w:szCs w:val="24"/>
        </w:rPr>
        <w:t xml:space="preserve"> prihode i rashode planira škola u svom financijskom planu:</w:t>
      </w:r>
      <w:r>
        <w:rPr>
          <w:rFonts w:ascii="Times New Roman" w:hAnsi="Times New Roman" w:cs="Times New Roman"/>
          <w:sz w:val="24"/>
        </w:rPr>
        <w:t xml:space="preserve"> </w:t>
      </w:r>
    </w:p>
    <w:p w14:paraId="4129400A">
      <w:pPr>
        <w:pStyle w:val="Odlomakpopisa"/>
        <w:numPr>
          <w:ilvl w:val="2"/>
          <w:numId w:val="5"/>
        </w:num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Aktivnost A2205-09 Obrazovanje odraslih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841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bookmarkStart w:id="5" w:name="_Hlk201652294"/>
            <w:r>
              <w:rPr>
                <w:rFonts w:ascii="Times New Roman" w:hAnsi="Times New Roman" w:cs="Times New Roman"/>
              </w:rPr>
              <w:t xml:space="preserve">Aktivnost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2205-09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400,00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1.295,78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323,95</w:t>
            </w:r>
          </w:p>
        </w:tc>
      </w:tr>
    </w:tbl>
    <w:bookmarkEnd w:id="5"/>
    <w:p w14:paraId="33CB04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Aktivnost Obrazovanje odraslih odnosi se na troškove plaća zaposlenika. </w:t>
      </w:r>
      <w:r>
        <w:rPr>
          <w:rFonts w:ascii="Times New Roman" w:hAnsi="Times New Roman" w:cs="Times New Roman"/>
          <w:sz w:val="24"/>
          <w:szCs w:val="24"/>
        </w:rPr>
        <w:t xml:space="preserve">Rebalansom 1 </w:t>
      </w:r>
      <w:r>
        <w:rPr>
          <w:rFonts w:ascii="Times New Roman" w:hAnsi="Times New Roman" w:cs="Times New Roman"/>
          <w:sz w:val="24"/>
          <w:szCs w:val="24"/>
        </w:rPr>
        <w:t xml:space="preserve">povećani su rashodi unutar ove aktivnosti jer su planirani prema odluci o rasporedu viška iz prethodne godine i ostvarenim rashodima do rebalansa. </w:t>
      </w:r>
    </w:p>
    <w:p w14:paraId="0E766F8B">
      <w:pPr>
        <w:pStyle w:val="Odlomakpopisa"/>
        <w:numPr>
          <w:ilvl w:val="2"/>
          <w:numId w:val="5"/>
        </w:num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Aktivnost A2205-12 Podizanje kvalitete i standarda u školstvu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2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2205-12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32.620,00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26.037,61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79,82</w:t>
            </w:r>
          </w:p>
        </w:tc>
      </w:tr>
    </w:tbl>
    <w:p w14:paraId="73805ED0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704EBF3B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65CE3C5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1D91578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Ostvarenje aktivnosti </w:t>
      </w:r>
      <w:r>
        <w:rPr>
          <w:rFonts w:ascii="Times New Roman" w:hAnsi="Times New Roman" w:cs="Times New Roman"/>
          <w:sz w:val="24"/>
        </w:rPr>
        <w:t xml:space="preserve">Podizanje kvalitete i standarda u školstvu planirano je u iznosu </w:t>
      </w:r>
      <w:r>
        <w:rPr>
          <w:rFonts w:ascii="Times New Roman" w:hAnsi="Times New Roman" w:cs="Times New Roman"/>
          <w:sz w:val="24"/>
        </w:rPr>
        <w:t xml:space="preserve">32.620,00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EUR za 202</w:t>
      </w:r>
      <w:r>
        <w:rPr>
          <w:rFonts w:ascii="Times New Roman" w:hAnsi="Times New Roman" w:cs="Times New Roman"/>
          <w:sz w:val="24"/>
        </w:rPr>
        <w:t xml:space="preserve">6</w:t>
      </w:r>
      <w:r>
        <w:rPr>
          <w:rFonts w:ascii="Times New Roman" w:hAnsi="Times New Roman" w:cs="Times New Roman"/>
          <w:sz w:val="24"/>
        </w:rPr>
        <w:t xml:space="preserve">. godinu, a nakon Izmjena i dopuna financijskog plana iznosi </w:t>
      </w:r>
      <w:r>
        <w:rPr>
          <w:rFonts w:ascii="Times New Roman" w:hAnsi="Times New Roman" w:cs="Times New Roman"/>
          <w:sz w:val="24"/>
        </w:rPr>
        <w:t xml:space="preserve">26.037,61</w:t>
      </w:r>
      <w:r>
        <w:rPr>
          <w:rFonts w:ascii="Times New Roman" w:hAnsi="Times New Roman" w:cs="Times New Roman"/>
          <w:sz w:val="24"/>
        </w:rPr>
        <w:t xml:space="preserve"> EUR. Unutar ove aktivnosti planiraju se rashodi za </w:t>
      </w:r>
      <w:r>
        <w:rPr>
          <w:rFonts w:ascii="Times New Roman" w:hAnsi="Times New Roman" w:cs="Times New Roman"/>
          <w:sz w:val="24"/>
        </w:rPr>
        <w:t xml:space="preserve">službena putovanja, </w:t>
      </w:r>
      <w:r>
        <w:rPr>
          <w:rFonts w:ascii="Times New Roman" w:hAnsi="Times New Roman" w:cs="Times New Roman"/>
          <w:sz w:val="24"/>
        </w:rPr>
        <w:t xml:space="preserve">zakupnine i najamnine, pomoći osobama s invaliditetom, uredska oprema, knjige i ostalo. Aktivnost se financira iz vlastitih prihoda Škole, sredstvima Ministarstva znanosti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obrazovanja</w:t>
      </w:r>
      <w:r>
        <w:rPr>
          <w:rFonts w:ascii="Times New Roman" w:hAnsi="Times New Roman" w:cs="Times New Roman"/>
          <w:sz w:val="24"/>
        </w:rPr>
        <w:t xml:space="preserve"> i mladih</w:t>
      </w:r>
      <w:r>
        <w:rPr>
          <w:rFonts w:ascii="Times New Roman" w:hAnsi="Times New Roman" w:cs="Times New Roman"/>
          <w:sz w:val="24"/>
        </w:rPr>
        <w:t xml:space="preserve">, prihodima za posebne namjene, donacijama i prenesenim viškom prihoda. </w:t>
      </w:r>
    </w:p>
    <w:p w14:paraId="318EDACD">
      <w:pPr>
        <w:pStyle w:val="Odlomakpopisa"/>
        <w:numPr>
          <w:ilvl w:val="2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Aktivnost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A2205-45 </w:t>
      </w:r>
      <w:r>
        <w:rPr>
          <w:rFonts w:ascii="Times New Roman" w:hAnsi="Times New Roman" w:cs="Times New Roman"/>
          <w:b/>
          <w:bCs/>
          <w:sz w:val="24"/>
        </w:rPr>
        <w:t xml:space="preserve">Ne bacaj otpad u moj dom - EBTŠ</w:t>
      </w: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2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bookmarkStart w:id="6" w:name="_Hlk240447418"/>
            <w:r>
              <w:rPr>
                <w:rFonts w:ascii="Times New Roman" w:hAnsi="Times New Roman" w:cs="Times New Roman"/>
              </w:rPr>
              <w:t xml:space="preserve">Aktivnost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2205-45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0,00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11.000,00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</w:t>
            </w:r>
          </w:p>
        </w:tc>
      </w:tr>
      <w:bookmarkEnd w:id="6"/>
    </w:tbl>
    <w:p w14:paraId="7C3D411C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7CD58BA7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115E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8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EC92A7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Aktivnost Ne bacaj otpad u moj dom financira se sredstvima Ministarstva turizma i sporta iz prethodne godine. Sredstva su raspoređena prema odluci o rasporedu rezul</w:t>
      </w:r>
      <w:r>
        <w:rPr>
          <w:rFonts w:ascii="Times New Roman" w:hAnsi="Times New Roman" w:cs="Times New Roman"/>
          <w:sz w:val="24"/>
          <w:szCs w:val="24"/>
        </w:rPr>
        <w:t xml:space="preserve">tata. 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Cilj projekta je podizanje ekološke svijesti i razvoj kompetencija učenika kroz održivi turizam i zaštitu morskog okoliša.</w:t>
      </w:r>
    </w:p>
    <w:p w14:paraId="403C78BD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p w14:paraId="0CEB4E4B">
      <w:pPr>
        <w:pStyle w:val="Odlomakpopisa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Program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4306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Nacionalni EU projekti </w:t>
      </w:r>
    </w:p>
    <w:p w14:paraId="5EAA5E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Y="-35"/>
        <w:tblW w:w="7792" w:type="dxa"/>
        <w:tblLayout w:type="fixed"/>
        <w:tblLook w:val="04A0" w:firstRow="1" w:lastRow="0" w:firstColumn="1" w:lastColumn="0" w:noHBand="0" w:noVBand="1"/>
      </w:tblPr>
      <w:tblGrid>
        <w:gridCol w:w="1214"/>
        <w:gridCol w:w="2183"/>
        <w:gridCol w:w="2410"/>
        <w:gridCol w:w="1985"/>
      </w:tblGrid>
      <w:tr>
        <w:trPr>
          <w:trHeight w:val="562" w:hRule="atLeast"/>
        </w:trPr>
        <w:tc>
          <w:tcPr>
            <w:tcW w:type="dxa" w:w="1214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</w:t>
            </w:r>
          </w:p>
        </w:tc>
        <w:tc>
          <w:tcPr>
            <w:tcW w:type="dxa" w:w="2183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410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>
          <w:trHeight w:val="491" w:hRule="atLeast"/>
        </w:trPr>
        <w:tc>
          <w:tcPr>
            <w:tcW w:type="dxa" w:w="1214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4306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type="dxa" w:w="2183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483,00</w:t>
            </w:r>
          </w:p>
        </w:tc>
        <w:tc>
          <w:tcPr>
            <w:tcW w:type="dxa" w:w="2410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483,00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100,00</w:t>
            </w:r>
          </w:p>
        </w:tc>
      </w:tr>
    </w:tbl>
    <w:p w14:paraId="3BF878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F2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73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C1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A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82F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program 4306 Nacionalni EU projekti provode se:</w:t>
      </w:r>
    </w:p>
    <w:p w14:paraId="72C3A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B7CF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T4306-03 </w:t>
      </w:r>
      <w:r>
        <w:rPr>
          <w:rFonts w:ascii="Times New Roman" w:hAnsi="Times New Roman" w:cs="Times New Roman"/>
          <w:sz w:val="24"/>
          <w:szCs w:val="24"/>
        </w:rPr>
        <w:t xml:space="preserve">Inkluzija</w:t>
      </w:r>
      <w:r>
        <w:rPr>
          <w:rFonts w:ascii="Times New Roman" w:hAnsi="Times New Roman" w:cs="Times New Roman"/>
          <w:sz w:val="24"/>
          <w:szCs w:val="24"/>
        </w:rPr>
        <w:t xml:space="preserve"> – korak bliže društvu bez prepreka faza V. u kojem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osiguravanju sredstva za plaće pomoćnika u nastavi s ciljem pružanja potpore uključivanju učenika s teškoćama u razvoju u njima primjerene programe odgoja i obrazovanja u osnovnoškolskim i srednjoškolskim odgojno – obrazovnim ustanovama. Za navedeni projekt škola ne radi plan, jer je za njegovo planiranje zadužena vanjska Agencija.</w:t>
      </w:r>
    </w:p>
    <w:p w14:paraId="2C8329B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 xml:space="preserve">T4306-36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KA121-VET-0002060648 EBTŠ čiji su planirani rashodi ostali na razini financijskog plana za 2026. godinu</w:t>
      </w:r>
    </w:p>
    <w:p w14:paraId="7BD5942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BA16B24">
      <w:pPr>
        <w:pStyle w:val="Odlomakpopisa"/>
        <w:numPr>
          <w:ilvl w:val="1"/>
          <w:numId w:val="5"/>
        </w:numPr>
        <w:spacing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Program 4307 Međunarodni projekti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5"/>
        <w:gridCol w:w="2244"/>
        <w:gridCol w:w="2268"/>
        <w:gridCol w:w="1985"/>
      </w:tblGrid>
      <w:tr>
        <w:trPr/>
        <w:tc>
          <w:tcPr>
            <w:tcW w:type="dxa" w:w="1295"/>
            <w:tcBorders/>
            <w:shd w:fill="D9D9D9" w:color="auto" w:val="clear"/>
          </w:tcPr>
          <w:p>
            <w:pPr>
              <w: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</w:t>
            </w:r>
          </w:p>
        </w:tc>
        <w:tc>
          <w:tcPr>
            <w:tcW w:type="dxa" w:w="2244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Financijski plan 2026.</w:t>
            </w:r>
          </w:p>
        </w:tc>
        <w:tc>
          <w:tcPr>
            <w:tcW w:type="dxa" w:w="2268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Rebalans 1 2026.</w:t>
            </w:r>
          </w:p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type="dxa" w:w="1985"/>
            <w:tcBorders/>
            <w:shd w:fill="D9D9D9" w:color="auto" w:val="clear"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Indeks Rebalans/Plan</w:t>
            </w:r>
          </w:p>
        </w:tc>
      </w:tr>
      <w:tr>
        <w:trPr/>
        <w:tc>
          <w:tcPr>
            <w:tcW w:type="dxa" w:w="1295"/>
            <w:tcBorders/>
          </w:tcPr>
          <w:p>
            <w:pPr>
              <w: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4307</w:t>
            </w:r>
          </w:p>
          <w:p>
            <w:pPr>
              <w: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type="dxa" w:w="2244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117.276,60</w:t>
            </w:r>
          </w:p>
        </w:tc>
        <w:tc>
          <w:tcPr>
            <w:tcW w:type="dxa" w:w="2268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198.067,26</w:t>
            </w:r>
          </w:p>
        </w:tc>
        <w:tc>
          <w:tcPr>
            <w:tcW w:type="dxa" w:w="1985"/>
            <w:tcBorders/>
          </w:tcPr>
          <w:p>
            <w:pPr>
              <w: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168,89</w:t>
            </w:r>
          </w:p>
        </w:tc>
      </w:tr>
    </w:tbl>
    <w:p w14:paraId="13F46488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2530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program 4307 Međunarodni EU projekti provode se:</w:t>
      </w:r>
    </w:p>
    <w:p w14:paraId="45CF1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5E93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 xml:space="preserve">T4307-64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+ 2025 KA121-EBTŠ-000338475</w:t>
      </w:r>
    </w:p>
    <w:p w14:paraId="24A18D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T4307-71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+ 2025-1-KA122-00343891 EBTŠ</w:t>
      </w:r>
    </w:p>
    <w:p w14:paraId="64C98D4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T4307-82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+ 2026 KA121-440071 SŠ Ekonom.</w:t>
      </w:r>
    </w:p>
    <w:p w14:paraId="7E223B8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1C16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Tijekom 2025. 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škola je sklopila dva ugovora o financiranju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projekata</w:t>
      </w:r>
      <w:r>
        <w:rPr>
          <w:rFonts w:ascii="Times New Roman" w:hAnsi="Times New Roman" w:cs="Times New Roman"/>
          <w:sz w:val="24"/>
          <w:szCs w:val="24"/>
        </w:rPr>
        <w:t xml:space="preserve"> koji su provedeni </w:t>
      </w:r>
      <w:r>
        <w:rPr>
          <w:rFonts w:ascii="Times New Roman" w:hAnsi="Times New Roman" w:cs="Times New Roman"/>
          <w:sz w:val="24"/>
          <w:szCs w:val="24"/>
        </w:rPr>
        <w:t xml:space="preserve">tijekom 2025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i 2026. godine. </w:t>
      </w:r>
      <w:r>
        <w:rPr>
          <w:rFonts w:ascii="Times New Roman" w:hAnsi="Times New Roman" w:cs="Times New Roman"/>
          <w:sz w:val="24"/>
          <w:szCs w:val="24"/>
        </w:rPr>
        <w:t xml:space="preserve">U 2026. godini sklopljen je jedan ugovor o financiranju </w:t>
      </w:r>
      <w:r>
        <w:rPr>
          <w:rFonts w:ascii="Times New Roman" w:hAnsi="Times New Roman" w:cs="Times New Roman"/>
          <w:sz w:val="24"/>
          <w:szCs w:val="24"/>
        </w:rPr>
        <w:t xml:space="preserve">Erasmus</w:t>
      </w:r>
      <w:r>
        <w:rPr>
          <w:rFonts w:ascii="Times New Roman" w:hAnsi="Times New Roman" w:cs="Times New Roman"/>
          <w:sz w:val="24"/>
          <w:szCs w:val="24"/>
        </w:rPr>
        <w:t xml:space="preserve">+ projekta te je u skladu s time planirano povećanje rashoda unutar programa 4307 Međunarodni EU projekti. </w:t>
      </w:r>
      <w:r>
        <w:rPr>
          <w:rFonts w:ascii="Times New Roman" w:hAnsi="Times New Roman" w:cs="Times New Roman"/>
          <w:sz w:val="24"/>
          <w:szCs w:val="24"/>
        </w:rPr>
        <w:t xml:space="preserve">Projekti mobilnosti usmjereni su na unaprjeđenje stručnih znanja i vještina nastavnog osoblja te učenika, s posebnim naglaskom na stjecanje stručne prakse, upoznavanje primjera dobre prakse u europskim obrazovnim ustanovama, razvoj jezičnih kompetencija te osnaživanje učenika za uključivanje u tržište rada kroz praktično iskustvo.</w:t>
      </w:r>
    </w:p>
    <w:p w14:paraId="13463EC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14:paraId="08E26A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1E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 učenika se trudimo razviti samoinicijativnost, marljivost, odgovornost, ali i njihovu poduzetnost kroz uključivanje u razne slobodne aktivnosti, natjecanja, vježbeničke prakse, kao i druge školske projekte, te ih osposobiti za rad ili nastavak školovanja prema zahtjevima tržišnog gospodarstva. I dalje ćemo odgovorno, zakonito, namjenski, transparentno i svrhovito koristiti proračunska sredstva, kroz pravilno planiranje i kontrolu izvršavanja financijskog plana, a zbog stanja u gospodarstvu nastaviti ćemo mjere racionalizacije i štednje na svim stavkama plana.</w:t>
      </w:r>
    </w:p>
    <w:p w14:paraId="57C06F47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C79E95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BFA3DD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A2375FE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Ravnateljica:</w:t>
      </w:r>
    </w:p>
    <w:p w14:paraId="0D7241AE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Zdenka Sršen-</w:t>
      </w:r>
      <w:r>
        <w:rPr>
          <w:rFonts w:ascii="Times New Roman" w:hAnsi="Times New Roman" w:cs="Times New Roman"/>
          <w:sz w:val="24"/>
        </w:rPr>
        <w:t xml:space="preserve">Juričević</w:t>
      </w:r>
      <w:r>
        <w:rPr>
          <w:rFonts w:ascii="Times New Roman" w:hAnsi="Times New Roman" w:cs="Times New Roman"/>
          <w:sz w:val="24"/>
        </w:rPr>
        <w:t xml:space="preserve">, dipl. </w:t>
      </w:r>
      <w:r>
        <w:rPr>
          <w:rFonts w:ascii="Times New Roman" w:hAnsi="Times New Roman" w:cs="Times New Roman"/>
          <w:sz w:val="24"/>
        </w:rPr>
        <w:t xml:space="preserve">oec</w:t>
      </w:r>
      <w:r>
        <w:rPr>
          <w:rFonts w:ascii="Times New Roman" w:hAnsi="Times New Roman" w:cs="Times New Roman"/>
          <w:sz w:val="24"/>
        </w:rPr>
        <w:t xml:space="preserve">.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Broadway">
    <w:charset w:val="0"/>
    <w:family w:val="decorative"/>
    <w:pitch w:val="variable"/>
    <w:sig w:usb0="00000003" w:usb1="00000000" w:usb2="00000000" w:usb3="00000000" w:csb0="00000001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7C3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pPr>
        <w:spacing/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pPr>
        <w:spacing/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pPr>
        <w:spacing/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pPr>
        <w:spacing/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pPr>
        <w:spacing/>
        <w:ind w:left="2160" w:hanging="1800"/>
      </w:pPr>
      <w:rPr>
        <w:rFonts w:hint="default"/>
      </w:rPr>
    </w:lvl>
  </w:abstractNum>
  <w:abstractNum w:abstractNumId="1">
    <w:nsid w:val="07562D2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10152C5F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1D113BA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pPr>
        <w:spacing/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pPr>
        <w:spacing/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pPr>
        <w:spacing/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pPr>
        <w:spacing/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pPr>
        <w:spacing/>
        <w:ind w:left="2160" w:hanging="1800"/>
      </w:pPr>
      <w:rPr>
        <w:rFonts w:hint="default"/>
      </w:rPr>
    </w:lvl>
  </w:abstractNum>
  <w:abstractNum w:abstractNumId="4">
    <w:nsid w:val="5F13395D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pPr>
        <w:spacing/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pPr>
        <w:spacing/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pPr>
        <w:spacing/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pPr>
        <w:spacing/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pPr>
        <w:spacing/>
        <w:ind w:left="2160" w:hanging="1800"/>
      </w:pPr>
      <w:rPr>
        <w:rFonts w:hint="default"/>
      </w:rPr>
    </w:lvl>
  </w:abstractNum>
  <w:abstractNum w:abstractNumId="5">
    <w:nsid w:val="68B65653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bullet"/>
      <w:suff w:val="tab"/>
      <w:lvlText w:val=""/>
      <w:pPr>
        <w:spacing/>
        <w:ind w:left="1080" w:hanging="360"/>
      </w:pPr>
      <w:rPr>
        <w:rFonts w:ascii="Symbol" w:hAnsi="Symbol" w:hint="default"/>
      </w:rPr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6">
    <w:nsid w:val="69053A0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79C722CB"/>
    <w:lvl w:ilvl="0">
      <w:start w:val="1"/>
      <w:numFmt w:val="bullet"/>
      <w:suff w:val="tab"/>
      <w:lvlText w:val=""/>
      <w:pPr>
        <w:spacing/>
        <w:ind w:left="1069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9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9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9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9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oNotDisplayPageBoundaries/>
  <w:proofState w:spelling="clean" w:grammar="clean"/>
  <w:defaultTabStop w:val="709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uiPriority w:val="99"/>
    <w:rPr/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119</TotalTime>
  <Pages>6</Pages>
  <Words>1997</Words>
  <Characters>11383</Characters>
  <Application>Microsoft Office Word</Application>
  <DocSecurity>0</DocSecurity>
  <Lines>94</Lines>
  <Paragraphs>26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Korisnik</cp:lastModifiedBy>
  <cp:revision>51</cp:revision>
  <dcterms:created xsi:type="dcterms:W3CDTF">2026-09-09T16:19:00Z</dcterms:created>
  <dcterms:modified xsi:type="dcterms:W3CDTF">2026-09-21T07:38:00Z</dcterms:modified>
</cp:coreProperties>
</file>